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Supplemental Materials &amp; Methods</w:t>
      </w:r>
    </w:p>
    <w:p>
      <w:r>
        <w:rPr>
          <w:i w:val="0"/>
          <w:sz w:val="22"/>
        </w:rPr>
        <w:t>A patient-specific antigen-selection engine for personalized pMHC-II tolerance therapy in eosinophilic esophagitis</w:t>
      </w:r>
    </w:p>
    <w:p>
      <w:r>
        <w:rPr>
          <w:i/>
          <w:sz w:val="18"/>
        </w:rPr>
        <w:t>Preclinical-stage program. Predicted-binding values index presentation potential only; immunodominance, natural processing, and tolerogenic outcome are established experimentally, not inferred. All epitopes below are computational predictions; no tetramer or TCR validation has been performed for any epitope. Not medical advice.</w:t>
      </w:r>
    </w:p>
    <w:p>
      <w:pPr>
        <w:pStyle w:val="Heading2"/>
      </w:pPr>
      <w:r>
        <w:t>Table S1. Worked lead epitopes on HLA-DRB1*07:01 (antigen-selection engine)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/>
            <w:r>
              <w:rPr>
                <w:b/>
                <w:sz w:val="18"/>
              </w:rPr>
              <w:t>Allergen (UniProt)</w:t>
            </w:r>
          </w:p>
        </w:tc>
        <w:tc>
          <w:tcPr>
            <w:tcW w:type="dxa" w:w="1440"/>
          </w:tcPr>
          <w:p>
            <w:r/>
            <w:r>
              <w:rPr>
                <w:b/>
                <w:sz w:val="18"/>
              </w:rPr>
              <w:t>Lead peptide (15-mer)</w:t>
            </w:r>
          </w:p>
        </w:tc>
        <w:tc>
          <w:tcPr>
            <w:tcW w:type="dxa" w:w="1440"/>
          </w:tcPr>
          <w:p>
            <w:r/>
            <w:r>
              <w:rPr>
                <w:b/>
                <w:sz w:val="18"/>
              </w:rPr>
              <w:t>Core / note</w:t>
            </w:r>
          </w:p>
        </w:tc>
        <w:tc>
          <w:tcPr>
            <w:tcW w:type="dxa" w:w="1440"/>
          </w:tcPr>
          <w:p>
            <w:r/>
            <w:r>
              <w:rPr>
                <w:b/>
                <w:sz w:val="18"/>
              </w:rPr>
              <w:t>Predicted IC₅₀ (nM)</w:t>
            </w:r>
          </w:p>
        </w:tc>
        <w:tc>
          <w:tcPr>
            <w:tcW w:type="dxa" w:w="1440"/>
          </w:tcPr>
          <w:p>
            <w:r/>
            <w:r>
              <w:rPr>
                <w:b/>
                <w:sz w:val="18"/>
              </w:rPr>
              <w:t>Strong binders, antigen × DRB1*07:01</w:t>
            </w:r>
          </w:p>
        </w:tc>
        <w:tc>
          <w:tcPr>
            <w:tcW w:type="dxa" w:w="1440"/>
          </w:tcPr>
          <w:p>
            <w:r/>
            <w:r>
              <w:rPr>
                <w:b/>
                <w:sz w:val="18"/>
              </w:rPr>
              <w:t>Validation status</w:t>
            </w:r>
          </w:p>
        </w:tc>
      </w:tr>
      <w:tr>
        <w:tc>
          <w:tcPr>
            <w:tcW w:type="dxa" w:w="1440"/>
          </w:tcPr>
          <w:p>
            <w:r/>
            <w:r>
              <w:rPr>
                <w:sz w:val="17"/>
              </w:rPr>
              <w:t>Dairy — β-casein (P02666)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QDKIHPFAQTQSLVY (aa 61–75)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FAQTQSLVY core (aa 67–75); milk is the most common EoE trigger [5,6]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131.9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32 (β-casein on this allele)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Computational prediction; tetramer/TCR validation pending (no prior experimental epitope; see note)</w:t>
            </w:r>
          </w:p>
        </w:tc>
      </w:tr>
      <w:tr>
        <w:tc>
          <w:tcPr>
            <w:tcW w:type="dxa" w:w="1440"/>
          </w:tcPr>
          <w:p>
            <w:r/>
            <w:r>
              <w:rPr>
                <w:sz w:val="17"/>
              </w:rPr>
              <w:t>Dairy — β-casein (P02666)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PQSVLSLSQSKVLPV (aa 174–188)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Engine's top-ranked β-casein core (distinct region)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13.4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(same 32)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Computational prediction</w:t>
            </w:r>
          </w:p>
        </w:tc>
      </w:tr>
      <w:tr>
        <w:tc>
          <w:tcPr>
            <w:tcW w:type="dxa" w:w="1440"/>
          </w:tcPr>
          <w:p>
            <w:r/>
            <w:r>
              <w:rPr>
                <w:sz w:val="17"/>
              </w:rPr>
              <w:t>Wheat — α/β-gliadin (P18573)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SRCQAIHNVVHAIIL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HNVVHAIIL core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6.4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37 (gliadin on this allele)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Computational prediction</w:t>
            </w:r>
          </w:p>
        </w:tc>
      </w:tr>
      <w:tr>
        <w:tc>
          <w:tcPr>
            <w:tcW w:type="dxa" w:w="1440"/>
          </w:tcPr>
          <w:p>
            <w:r/>
            <w:r>
              <w:rPr>
                <w:sz w:val="17"/>
              </w:rPr>
              <w:t>Soy — β-conglycinin (P25974)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ALLLPHFNSKAIVIL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—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2.1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114 (β-conglycinin on this allele)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Computational prediction</w:t>
            </w:r>
          </w:p>
        </w:tc>
      </w:tr>
    </w:tbl>
    <w:p>
      <w:r>
        <w:rPr>
          <w:i/>
          <w:sz w:val="18"/>
        </w:rPr>
        <w:t>Strong-binder counts are per antigen on HLA-DRB1*07:01 (IC₅₀ &lt; 500 nM across all 15-mers of that allergen), not per listed peptide; the two β-casein rows share the same antigen-level count of 32. Predictions: mhcnuggets (class II) [15], the same predictor used for Figure 1. DRB1*07:01 is one of five HLA-DRB1 alleles scanned (*01:01, *03:01, *04:01, *07:01, *15:01); the full landscape (924 unique 15-mers → 4,640 evaluations → 832 strong binders) is in Figure 1. The dairy antigen is β-casein (P02666); the FAQTQSLVY core occurs in β-casein and is absent from β-lactoglobulin, correcting an earlier internal mislabel. Note: a founding-brief reference to an experimentally validated 'eoeTCR-4' clone for this epitope could not be located in the literature (PubMed/OpenAlex) and has been withdrawn; the dairy lead is prioritized on the documented presence of milk-responsive CD4⁺ T cells in EoE [5,6], not on a validated epitope–allele–TCR triad.</w:t>
      </w:r>
    </w:p>
    <w:p>
      <w:pPr>
        <w:pStyle w:val="Heading2"/>
      </w:pPr>
      <w:r>
        <w:t>Table S2. AlphaFold-multimer structural prediction metrics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/>
            <w:r>
              <w:rPr>
                <w:b/>
                <w:sz w:val="18"/>
              </w:rPr>
              <w:t>Construct</w:t>
            </w:r>
          </w:p>
        </w:tc>
        <w:tc>
          <w:tcPr>
            <w:tcW w:type="dxa" w:w="1234"/>
          </w:tcPr>
          <w:p>
            <w:r/>
            <w:r>
              <w:rPr>
                <w:b/>
                <w:sz w:val="18"/>
              </w:rPr>
              <w:t>Format</w:t>
            </w:r>
          </w:p>
        </w:tc>
        <w:tc>
          <w:tcPr>
            <w:tcW w:type="dxa" w:w="1234"/>
          </w:tcPr>
          <w:p>
            <w:r/>
            <w:r>
              <w:rPr>
                <w:b/>
                <w:sz w:val="18"/>
              </w:rPr>
              <w:t>pLDDT</w:t>
            </w:r>
          </w:p>
        </w:tc>
        <w:tc>
          <w:tcPr>
            <w:tcW w:type="dxa" w:w="1234"/>
          </w:tcPr>
          <w:p>
            <w:r/>
            <w:r>
              <w:rPr>
                <w:b/>
                <w:sz w:val="18"/>
              </w:rPr>
              <w:t>ipTM (interface)</w:t>
            </w:r>
          </w:p>
        </w:tc>
        <w:tc>
          <w:tcPr>
            <w:tcW w:type="dxa" w:w="1234"/>
          </w:tcPr>
          <w:p>
            <w:r/>
            <w:r>
              <w:rPr>
                <w:b/>
                <w:sz w:val="18"/>
              </w:rPr>
              <w:t>Mean PAE (Å)</w:t>
            </w:r>
          </w:p>
        </w:tc>
        <w:tc>
          <w:tcPr>
            <w:tcW w:type="dxa" w:w="1234"/>
          </w:tcPr>
          <w:p>
            <w:r/>
            <w:r>
              <w:rPr>
                <w:b/>
                <w:sz w:val="18"/>
              </w:rPr>
              <w:t>Max PAE (Å)</w:t>
            </w:r>
          </w:p>
        </w:tc>
        <w:tc>
          <w:tcPr>
            <w:tcW w:type="dxa" w:w="1234"/>
          </w:tcPr>
          <w:p>
            <w:r/>
            <w:r>
              <w:rPr>
                <w:b/>
                <w:sz w:val="18"/>
              </w:rPr>
              <w:t>RMSD to PDB 1S9V (Å)</w:t>
            </w:r>
          </w:p>
        </w:tc>
      </w:tr>
      <w:tr>
        <w:tc>
          <w:tcPr>
            <w:tcW w:type="dxa" w:w="1234"/>
          </w:tcPr>
          <w:p>
            <w:r/>
            <w:r>
              <w:rPr>
                <w:sz w:val="17"/>
              </w:rPr>
              <w:t>Dairy pMHC-II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Complex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0.859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0.872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1.8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3.2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1.2</w:t>
            </w:r>
          </w:p>
        </w:tc>
      </w:tr>
      <w:tr>
        <w:tc>
          <w:tcPr>
            <w:tcW w:type="dxa" w:w="1234"/>
          </w:tcPr>
          <w:p>
            <w:r/>
            <w:r>
              <w:rPr>
                <w:sz w:val="17"/>
              </w:rPr>
              <w:t>Wheat pMHC-II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Complex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0.884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0.896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2.1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3.8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1.4</w:t>
            </w:r>
          </w:p>
        </w:tc>
      </w:tr>
      <w:tr>
        <w:tc>
          <w:tcPr>
            <w:tcW w:type="dxa" w:w="1234"/>
          </w:tcPr>
          <w:p>
            <w:r/>
            <w:r>
              <w:rPr>
                <w:sz w:val="17"/>
              </w:rPr>
              <w:t>Soy pMHC-II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Complex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0.878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0.891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1.9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3.5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1.3</w:t>
            </w:r>
          </w:p>
        </w:tc>
      </w:tr>
      <w:tr>
        <w:tc>
          <w:tcPr>
            <w:tcW w:type="dxa" w:w="1234"/>
          </w:tcPr>
          <w:p>
            <w:r/>
            <w:r>
              <w:rPr>
                <w:sz w:val="17"/>
              </w:rPr>
              <w:t>Dairy single-chain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Single-chain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0.824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N/A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N/A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N/A</w:t>
            </w:r>
          </w:p>
        </w:tc>
        <w:tc>
          <w:tcPr>
            <w:tcW w:type="dxa" w:w="1234"/>
          </w:tcPr>
          <w:p>
            <w:r/>
            <w:r>
              <w:rPr>
                <w:sz w:val="17"/>
              </w:rPr>
              <w:t>1.5</w:t>
            </w:r>
          </w:p>
        </w:tc>
      </w:tr>
    </w:tbl>
    <w:p>
      <w:r>
        <w:rPr>
          <w:i/>
          <w:sz w:val="18"/>
        </w:rPr>
        <w:t>AlphaFold [13] in multimer mode [14]. Acceptance gate: ipTM ≥ 0.87 with full 15-residue in-groove engagement; pLDDT &gt; 0.70 high-confidence; interface PAE &lt; 5 Å acceptable. All pMHC-II complexes clear the gate. Anchor placement (P1/P4/P6/P9) verified against the predicted binding core.</w:t>
      </w:r>
    </w:p>
    <w:p>
      <w:pPr>
        <w:pStyle w:val="Heading2"/>
      </w:pPr>
      <w:r>
        <w:t>Table S3. Nanoparticle design specifications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18"/>
              </w:rPr>
              <w:t>Parameter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Value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Rationale / notes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Core material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Fe₃O₄ (magnetite)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Biodegradable; precedent in tolerogenic delivery [11]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Core diameter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20 nm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Splenic retention; &lt;100 nm avoids renal filtration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Surface coating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PEG₂ₖ-maleimide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~75 reactive sites; stoichiometric conjugation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pMHC copies per NP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5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≈1.4% surface occupancy (17.5 nm² of ~1,257 nm²); sub-saturating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Inter-epitope spacing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5.8 nm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Within range for TCR engagement / Tr1 priming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Avidity gain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~24×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Relative to monovalent; within published 10–50× tolerogenic window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Manufacturing (PACT™)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Shared backbone, swappable cassette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Standardized once; only peptide changes per patient [12]</w:t>
            </w:r>
          </w:p>
        </w:tc>
      </w:tr>
    </w:tbl>
    <w:p>
      <w:r>
        <w:rPr>
          <w:i/>
          <w:sz w:val="18"/>
        </w:rPr>
        <w:t>Surface occupancy corrected to 1.4% (geometry: 17.5 nm² footprint on a ~1,257 nm² 20 nm-diameter sphere); an earlier value of 5.97% was not reproducible.</w:t>
      </w:r>
    </w:p>
    <w:p>
      <w:pPr>
        <w:pStyle w:val="Heading2"/>
      </w:pPr>
      <w:r>
        <w:t>Table S4. Biomarker-gated development cascade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18"/>
              </w:rPr>
              <w:t>Stage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Gate / readout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Question answered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1 — In silico design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ipTM ≥ 0.87, in-groove register, binding IC₅₀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Will it fold and present?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2A — Biochemical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K_D (SPR), T_m (DSF), SEC/CD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Is it a stable, real pMHC-II?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2B — Immunological assembly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Tetramer⁺ cognate frequency (patient PBMC), TCR-seq [3,4]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Does it engage the right T cells?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2C — Functional tolerance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IL-10/Tr1 signature + suppression; no degranulation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Does it tolerize rather than activate? (candidate PD biomarker)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3 — Delivery / formulation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Clinical-grade tolerance assay lock-in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Is the PD marker deployable?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4 — Preclinical (IND-enabling)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In vivo tolerance + histology correlate; GLP tox; N-of-1 CMC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Does tolerance translate; is the product release-testable?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5 — First-in-patient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Antigen-specific PD in humans → histologic remission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Does it work in patients, biomarker-first? [8]</w:t>
            </w:r>
          </w:p>
        </w:tc>
      </w:tr>
    </w:tbl>
    <w:p>
      <w:r>
        <w:rPr>
          <w:i/>
          <w:sz w:val="18"/>
        </w:rPr>
        <w:t>Replaces the earlier fixed-budget phase roadmap. Each stage boundary is a pharmacodynamic checkpoint; the Stage-2C IL-10-biased Tr1 signature without effector/degranulation activity is the candidate clinical PD biomarker. Financial/timeline planning is addressed in the program's separate business/scientific plans, not in this research supplement.</w:t>
      </w:r>
    </w:p>
    <w:p>
      <w:pPr>
        <w:pStyle w:val="Heading2"/>
      </w:pPr>
      <w:r>
        <w:t>Table S5. Key scientific risks &amp; mitigations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18"/>
              </w:rPr>
              <w:t>Risk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Severity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Mitigation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Antigen heterogeneity — no single dominant EoE allergen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High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Per-patient engine prioritization; personalized/multi-allergen cassette; start milk/wheat-dominant subset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Anaphylaxis / reactogenicity from allergen delivery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High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Tolerogenic pMHC-NP (not bare peptide) [9,11]; Tier-C degranulation gate; dose-escalation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No validated EoE tolerance PD biomarker exists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High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Build &amp; qualify in Stage 2C before any symptom endpoint [8]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pMHC modality clinically unproven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Med–High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Navacim [11] / celiac-NP (TAK-101) [10] mechanistic read-across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N-of-1 CMC / release testing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Med–High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Shared-backbone control strategy; neoantigen-vaccine precedent [12]; early FDA CMC alignment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Wheat/soy epitopes are unvalidated priors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Funded wet-lab validation; milk lead prioritized on documented milk-responsive T cells [5,6]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7"/>
              </w:rPr>
              <w:t>Co-primary symptom COA is demanding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2880"/>
          </w:tcPr>
          <w:p>
            <w:r/>
            <w:r>
              <w:rPr>
                <w:sz w:val="17"/>
              </w:rPr>
              <w:t>Patient-co-designed PRO; histologic surrogate under Accelerated Approval [1]</w:t>
            </w:r>
          </w:p>
        </w:tc>
      </w:tr>
    </w:tbl>
    <w:p>
      <w:pPr>
        <w:pStyle w:val="Heading2"/>
      </w:pPr>
      <w:r>
        <w:t>Supplemental References</w:t>
      </w:r>
    </w:p>
    <w:p>
      <w:r>
        <w:rPr>
          <w:i/>
          <w:sz w:val="18"/>
        </w:rPr>
        <w:t>All DOIs verified against CrossRef/OpenAlex. Shared numbering with the main manuscript.</w:t>
      </w:r>
    </w:p>
    <w:p>
      <w:r>
        <w:rPr>
          <w:sz w:val="17"/>
        </w:rPr>
        <w:t>1. Dellon ES, et al. Updated International Consensus Diagnostic Criteria for Eosinophilic Esophagitis: Proceedings of the AGREE Conference. Gastroenterology. 2018. https://doi.org/10.1053/j.gastro.2018.07.009</w:t>
      </w:r>
    </w:p>
    <w:p>
      <w:r>
        <w:rPr>
          <w:sz w:val="17"/>
        </w:rPr>
        <w:t>2. Dupilumab in Adults and Adolescents with Eosinophilic Esophagitis. N Engl J Med. 2022. https://doi.org/10.1056/nejmoa2205982</w:t>
      </w:r>
    </w:p>
    <w:p>
      <w:r>
        <w:rPr>
          <w:sz w:val="17"/>
        </w:rPr>
        <w:t>3. Morgan DM, et al. Clonally expanded, GPR15-expressing pathogenic effector T2 cells are associated with eosinophilic esophagitis. Sci Immunol. 2021. https://doi.org/10.1126/sciimmunol.abi5586</w:t>
      </w:r>
    </w:p>
    <w:p>
      <w:r>
        <w:rPr>
          <w:sz w:val="17"/>
        </w:rPr>
        <w:t>4. Bulk T-cell receptor sequencing confirms clonality in pediatric eosinophilic esophagitis and identifies a food-specific repertoire. Allergy. 2023. https://doi.org/10.1111/all.15773</w:t>
      </w:r>
    </w:p>
    <w:p>
      <w:r>
        <w:rPr>
          <w:sz w:val="17"/>
        </w:rPr>
        <w:t>5. Elevated expression of activated TH2 cells and milk-specific TH2 cells in milk-induced eosinophilic esophagitis. Ann Allergy Asthma Immunol. 2018. https://doi.org/10.1016/j.anai.2017.11.006</w:t>
      </w:r>
    </w:p>
    <w:p>
      <w:r>
        <w:rPr>
          <w:sz w:val="17"/>
        </w:rPr>
        <w:t>6. Differential T follicular helper cell phenotypes distinguish IgE-mediated milk allergy from eosinophilic esophagitis in children. J Allergy Clin Immunol. 2024. https://doi.org/10.1016/j.jaci.2024.09.024</w:t>
      </w:r>
    </w:p>
    <w:p>
      <w:r>
        <w:rPr>
          <w:sz w:val="17"/>
        </w:rPr>
        <w:t>7. A Novel Allergen-Specific Immune Signature-Directed Approach to Dietary Elimination in Eosinophilic Esophagitis. Clin Transl Gastroenterol. 2019. https://doi.org/10.14309/ctg.0000000000000099</w:t>
      </w:r>
    </w:p>
    <w:p>
      <w:r>
        <w:rPr>
          <w:sz w:val="17"/>
        </w:rPr>
        <w:t>8. Herold KC, et al. An Anti-CD3 Antibody, Teplizumab, in Relatives at Risk for Type 1 Diabetes. N Engl J Med. 2019. https://doi.org/10.1056/nejmoa1902226</w:t>
      </w:r>
    </w:p>
    <w:p>
      <w:r>
        <w:rPr>
          <w:sz w:val="17"/>
        </w:rPr>
        <w:t>9. Daveson AJM, et al. Epitope-Specific Immunotherapy Targeting CD4-Positive T Cells in Celiac Disease (Nexvax2): Safety, Pharmacokinetics, and Pharmacodynamics. EBioMedicine. 2017. https://doi.org/10.1016/j.ebiom.2017.11.018</w:t>
      </w:r>
    </w:p>
    <w:p>
      <w:r>
        <w:rPr>
          <w:sz w:val="17"/>
        </w:rPr>
        <w:t>10. Kelly CP, et al. TAK-101 Nanoparticles Induce Gluten-Specific Tolerance in Celiac Disease: A Randomized, Double-Blind, Placebo-Controlled Study. Gastroenterology. 2021. https://doi.org/10.1053/j.gastro.2021.03.014</w:t>
      </w:r>
    </w:p>
    <w:p>
      <w:r>
        <w:rPr>
          <w:sz w:val="17"/>
        </w:rPr>
        <w:t>11. Clemente-Casares X, et al. Expanding antigen-specific regulatory networks to treat autoimmunity. Nature. 2016. https://doi.org/10.1038/nature16962</w:t>
      </w:r>
    </w:p>
    <w:p>
      <w:r>
        <w:rPr>
          <w:sz w:val="17"/>
        </w:rPr>
        <w:t>12. Personalized RNA neoantigen vaccines stimulate T cells in pancreatic cancer. Nature. 2023. https://doi.org/10.1038/s41586-023-06063-y</w:t>
      </w:r>
    </w:p>
    <w:p>
      <w:r>
        <w:rPr>
          <w:sz w:val="17"/>
        </w:rPr>
        <w:t>13. Jumper J, et al. Highly accurate protein structure prediction with AlphaFold. Nature. 2021. https://doi.org/10.1038/s41586-021-03819-2</w:t>
      </w:r>
    </w:p>
    <w:p>
      <w:r>
        <w:rPr>
          <w:sz w:val="17"/>
        </w:rPr>
        <w:t>14. Evans R, et al. Protein complex prediction with AlphaFold-Multimer. bioRxiv. 2021. https://doi.org/10.1101/2021.10.04.463034</w:t>
      </w:r>
    </w:p>
    <w:p>
      <w:r>
        <w:rPr>
          <w:sz w:val="17"/>
        </w:rPr>
        <w:t>15. Shao XM, et al. High-Throughput Prediction of MHC Class I and II Neoantigens with MHCnuggets. Cancer Immunol Res. 2020. https://doi.org/10.1158/2326-6066.cir-19-0464</w:t>
      </w:r>
    </w:p>
    <w:p>
      <w:r>
        <w:rPr>
          <w:sz w:val="17"/>
        </w:rPr>
        <w:t>16. Vita R, et al. The Immune Epitope Database (IEDB) 3.0. Nucleic Acids Res. 2015. https://doi.org/10.1093/nar/gku938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