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/>
      <w:r>
        <w:t>Response to Reviewers — EoE de novo binder design manuscript</w:t>
      </w:r>
    </w:p>
    <w:p>
      <w:r>
        <w:t>We thank the editor and reviewers. The central methodological objection — that the Boltz-2</w:t>
      </w:r>
    </w:p>
    <w:p>
      <w:r>
        <w:t>"59/60 passed" figure had no null distribution and the single-model co-folding was circular — was</w:t>
      </w:r>
    </w:p>
    <w:p>
      <w:r>
        <w:t>correct, and addressing it changed the paper substantially. We ran two new compute experiments</w:t>
      </w:r>
    </w:p>
    <w:p>
      <w:r>
        <w:t>(a negative-control decoy calibration and an orthogonal-predictor concordance check) and reframed the</w:t>
      </w:r>
    </w:p>
    <w:p>
      <w:r>
        <w:t>validation narrative around what in-silico confidence can and cannot establish. Point-by-point below;</w:t>
      </w:r>
    </w:p>
    <w:p>
      <w:r>
        <w:t xml:space="preserve">manuscript line references are to </w:t>
      </w:r>
      <w:r>
        <w:rPr>
          <w:rFonts w:ascii="Courier New" w:hAnsi="Courier New"/>
          <w:sz w:val="18"/>
        </w:rPr>
        <w:t>EoE_manuscript_revised.md</w:t>
      </w:r>
      <w:r>
        <w:t>.</w:t>
      </w:r>
    </w:p>
    <w:p>
      <w:pPr>
        <w:pStyle w:val="Heading2"/>
      </w:pPr>
      <w:r/>
      <w:r>
        <w:t>Editor's essential revisions</w:t>
      </w:r>
    </w:p>
    <w:p>
      <w:r>
        <w:rPr>
          <w:b/>
        </w:rPr>
        <w:t>E1. Calibrate the word "validated."</w:t>
      </w:r>
      <w:r>
        <w:t xml:space="preserve"> Done. We removed every unqualified use of "validated" for the</w:t>
      </w:r>
    </w:p>
    <w:p>
      <w:r>
        <w:t>in-silico results (Abstract, §2.4, §2.5 header, Figure 1 legend) and replaced them with "assessed" /</w:t>
      </w:r>
    </w:p>
    <w:p>
      <w:r>
        <w:t>"computationally assessed." The word "validated" now appears only in cautionary constructions ("not an</w:t>
      </w:r>
    </w:p>
    <w:p>
      <w:r>
        <w:t>experimentally validated binder"; "we refrain from any claim of validated binding") or referring to</w:t>
      </w:r>
    </w:p>
    <w:p>
      <w:r>
        <w:t>external drug-target validation.</w:t>
      </w:r>
    </w:p>
    <w:p>
      <w:r>
        <w:rPr>
          <w:b/>
        </w:rPr>
        <w:t>E2. Boltz circularity / no controls (decoys + positive control + orthogonal predictor).</w:t>
      </w:r>
      <w:r>
        <w:t xml:space="preserve"> Done, and</w:t>
      </w:r>
    </w:p>
    <w:p>
      <w:r>
        <w:t>this is the core of the revision.</w:t>
      </w:r>
    </w:p>
    <w:p>
      <w:pPr>
        <w:pStyle w:val="ListBullet"/>
      </w:pPr>
      <w:r>
        <w:rPr>
          <w:i/>
        </w:rPr>
        <w:t>Decoys (new Fig. 5 / Fig. S13, Table S6):</w:t>
      </w:r>
      <w:r>
        <w:t xml:space="preserve"> 36 control complexes folded under the identical protocol</w:t>
      </w:r>
    </w:p>
    <w:p>
      <w:r>
        <w:t>— 24 scrambled (composition-matched, residues permuted), 8 random-composition, 4 reproduction</w:t>
      </w:r>
    </w:p>
    <w:p>
      <w:r>
        <w:t xml:space="preserve">controls. Result: </w:t>
      </w:r>
      <w:r>
        <w:rPr>
          <w:b/>
        </w:rPr>
        <w:t>ipTM does not distinguish designs from scrambled decoys</w:t>
      </w:r>
      <w:r>
        <w:t xml:space="preserve"> (scrambled pass the</w:t>
      </w:r>
    </w:p>
    <w:p>
      <w:r>
        <w:t>gate at 92–100%; Mann–Whitney design&gt;scrambled n.s., CCL26 p=0.16, POSTN p=0.80). Reported plainly in</w:t>
      </w:r>
    </w:p>
    <w:p>
      <w:r>
        <w:t>Abstract, §2.4, and Limitations.</w:t>
      </w:r>
    </w:p>
    <w:p>
      <w:pPr>
        <w:pStyle w:val="ListBullet"/>
      </w:pPr>
      <w:r>
        <w:rPr>
          <w:i/>
        </w:rPr>
        <w:t>Reproduction/positive control:</w:t>
      </w:r>
      <w:r>
        <w:t xml:space="preserve"> the two leads re-folded verbatim recovered their original metrics</w:t>
      </w:r>
    </w:p>
    <w:p>
      <w:r>
        <w:t>within diffusion noise (0.942→0.904, 0.901→0.928), establishing the comparison is like-for-like.</w:t>
      </w:r>
    </w:p>
    <w:p>
      <w:pPr>
        <w:pStyle w:val="ListBullet"/>
      </w:pPr>
      <w:r>
        <w:rPr>
          <w:i/>
        </w:rPr>
        <w:t>Orthogonal predictor (new Fig. 7 / Fig. S14, Table S6):</w:t>
      </w:r>
      <w:r>
        <w:t xml:space="preserve"> all 60 designs re-folded with Chai-1.</w:t>
      </w:r>
    </w:p>
    <w:p>
      <w:r>
        <w:t>Boltz-2 and Chai-1 disagree sharply (Chai median ipTM 0.19/0.33 vs 0.85/0.78; 7% pass Chai's ipTM&gt;0.5</w:t>
      </w:r>
    </w:p>
    <w:p>
      <w:r>
        <w:t>vs 98% in Boltz; overall Spearman ρ=−0.13, n.s.). Both leads collapse in Chai-1. Reported in</w:t>
      </w:r>
    </w:p>
    <w:p>
      <w:r>
        <w:t>Discussion "Orthogonal-predictor concordance."</w:t>
      </w:r>
    </w:p>
    <w:p>
      <w:r>
        <w:rPr>
          <w:b/>
        </w:rPr>
        <w:t>E3. Reframe "59/60 passed" as threshold-crossing on a pre-filtered subset.</w:t>
      </w:r>
      <w:r>
        <w:t xml:space="preserve"> Done (§2.4). The text now</w:t>
      </w:r>
    </w:p>
    <w:p>
      <w:r>
        <w:t>states the 60 are 30/target hand-selected from the 1,074 that survived complexity filtering out of</w:t>
      </w:r>
    </w:p>
    <w:p>
      <w:r>
        <w:t>1,920 designs, and describes 59/60 as a "threshold-crossing rate on a multiply pre-filtered subset, not</w:t>
      </w:r>
    </w:p>
    <w:p>
      <w:r>
        <w:t>a design-success rate — and … close to the null."</w:t>
      </w:r>
    </w:p>
    <w:p>
      <w:r>
        <w:rPr>
          <w:b/>
        </w:rPr>
        <w:t>E4. Show meta-analysis I², cohort count, FDR audit.</w:t>
      </w:r>
      <w:r>
        <w:t xml:space="preserve"> Done (§2.1, Methods). We now report the</w:t>
      </w:r>
    </w:p>
    <w:p>
      <w:r>
        <w:t>random-effects model (DerSimonian–Laird), BH-FDR across all genes, per-gene k (CCL26 k=9, POSTN k=8),</w:t>
      </w:r>
    </w:p>
    <w:p>
      <w:r>
        <w:t>I² (CCL26 98%, POSTN 72%), and a leave-one-cohort-out sensitivity check. The apparent "9/9 vs 8/8"</w:t>
      </w:r>
    </w:p>
    <w:p>
      <w:r>
        <w:t>discrepancy is explained as differential per-gene cohort coverage, not an inconsistency.</w:t>
      </w:r>
    </w:p>
    <w:p>
      <w:r>
        <w:rPr>
          <w:b/>
        </w:rPr>
        <w:t>E5. Reconcile CCL26 "most discriminating" vs 11th/20 druggability rank.</w:t>
      </w:r>
      <w:r>
        <w:t xml:space="preserve"> Done (§2.1). The two</w:t>
      </w:r>
    </w:p>
    <w:p>
      <w:r>
        <w:t>statements measure different things; the composite penalizes CCL26's very high I², and we state that</w:t>
      </w:r>
    </w:p>
    <w:p>
      <w:r>
        <w:t>CCL26 was prioritized on mechanistic grounds, not composite rank.</w:t>
      </w:r>
    </w:p>
    <w:p>
      <w:r>
        <w:rPr>
          <w:b/>
        </w:rPr>
        <w:t>E6. Disclose search + druggability-score methodology; fix "2026" typo.</w:t>
      </w:r>
      <w:r>
        <w:t xml:space="preserve"> Done (Methods). We disclose</w:t>
      </w:r>
    </w:p>
    <w:p>
      <w:r>
        <w:t>the PubMed query, date restriction (corrected 2015–2025; the "2026" was a typo), trial-set definition,</w:t>
      </w:r>
    </w:p>
    <w:p>
      <w:r>
        <w:t>per-target counting method, and the composite priority-score construction (with weights deferred to</w:t>
      </w:r>
    </w:p>
    <w:p>
      <w:r>
        <w:t>released code). "Zero direct interventional trials" is now explicitly defined.</w:t>
      </w:r>
    </w:p>
    <w:p>
      <w:pPr>
        <w:pStyle w:val="Heading2"/>
      </w:pPr>
      <w:r/>
      <w:r>
        <w:t>Reviewer-specific points (selected)</w:t>
      </w:r>
    </w:p>
    <w:p>
      <w:pPr>
        <w:pStyle w:val="ListBullet"/>
      </w:pPr>
      <w:r>
        <w:rPr>
          <w:i/>
        </w:rPr>
        <w:t>R2 — isolated FAS1-IV domain:</w:t>
      </w:r>
      <w:r>
        <w:t xml:space="preserve"> now flagged in both Results (§2.5) and Limitations.</w:t>
      </w:r>
    </w:p>
    <w:p>
      <w:pPr>
        <w:pStyle w:val="ListBullet"/>
      </w:pPr>
      <w:r>
        <w:rPr>
          <w:i/>
        </w:rPr>
        <w:t>R2 — acidic/helical MPNN bias:</w:t>
      </w:r>
      <w:r>
        <w:t xml:space="preserve"> retained in Limitations, now connected to the decoy finding (confident</w:t>
      </w:r>
    </w:p>
    <w:p>
      <w:r>
        <w:t>co-folding may be partly generic electrostatic complementarity).</w:t>
      </w:r>
    </w:p>
    <w:p>
      <w:pPr>
        <w:pStyle w:val="ListBullet"/>
      </w:pPr>
      <w:r>
        <w:rPr>
          <w:i/>
        </w:rPr>
        <w:t>R1/R3 — eotaxin redundancy (CCL11/CCL24) and periostin-as-biomarker:</w:t>
      </w:r>
      <w:r>
        <w:t xml:space="preserve"> added to Introduction and</w:t>
      </w:r>
    </w:p>
    <w:p>
      <w:r>
        <w:t>Discussion as explicit target-specific caveats.</w:t>
      </w:r>
    </w:p>
    <w:p>
      <w:pPr>
        <w:pStyle w:val="ListBullet"/>
      </w:pPr>
      <w:r>
        <w:rPr>
          <w:i/>
        </w:rPr>
        <w:t>R3 — "histologic remission" definition:</w:t>
      </w:r>
      <w:r>
        <w:t xml:space="preserve"> clarified (eosinophil-count endpoint) in Discussion.</w:t>
      </w:r>
    </w:p>
    <w:p>
      <w:pPr>
        <w:pStyle w:val="Heading2"/>
      </w:pPr>
      <w:r/>
      <w:r>
        <w:t>Items deferred (stated as future work, not claimed)</w:t>
      </w:r>
    </w:p>
    <w:p>
      <w:pPr>
        <w:pStyle w:val="ListBullet"/>
      </w:pPr>
      <w:r>
        <w:rPr>
          <w:b/>
        </w:rPr>
        <w:t>Buried-SASA for all 60 designs:</w:t>
      </w:r>
      <w:r>
        <w:t xml:space="preserve"> the original 60 design structures were not archived (only the two</w:t>
      </w:r>
    </w:p>
    <w:p>
      <w:r>
        <w:t>leads), so buried SASA is reported for the leads only; interface-residue counts are in Table S4 for all</w:t>
      </w:r>
    </w:p>
    <w:p>
      <w:pPr>
        <w:pStyle w:val="ListNumber"/>
      </w:pPr>
      <w:r>
        <w:t>Re-folding all 60 solely to add this column was judged disproportionate. Noted as future work.</w:t>
      </w:r>
    </w:p>
    <w:p>
      <w:pPr>
        <w:pStyle w:val="ListBullet"/>
      </w:pPr>
      <w:r>
        <w:rPr>
          <w:b/>
        </w:rPr>
        <w:t>Wet-lab validation:</w:t>
      </w:r>
      <w:r>
        <w:t xml:space="preserve"> out of scope for this in-silico study, as agreed; the Next-steps section lists</w:t>
      </w:r>
    </w:p>
    <w:p>
      <w:r>
        <w:t>the specific experiments required.</w:t>
      </w:r>
    </w:p>
    <w:p>
      <w:pPr>
        <w:pStyle w:val="Heading2"/>
      </w:pPr>
      <w:r/>
      <w:r>
        <w:t>New artifacts accompanying this revision</w:t>
      </w:r>
    </w:p>
    <w:p>
      <w:pPr>
        <w:pStyle w:val="ListBullet"/>
      </w:pPr>
      <w:r>
        <w:rPr>
          <w:rFonts w:ascii="Courier New" w:hAnsi="Courier New"/>
          <w:sz w:val="18"/>
        </w:rPr>
        <w:t>EoE_manuscript_revised.md</w:t>
      </w:r>
      <w:r>
        <w:t xml:space="preserve">, </w:t>
      </w:r>
      <w:r>
        <w:rPr>
          <w:rFonts w:ascii="Courier New" w:hAnsi="Courier New"/>
          <w:sz w:val="18"/>
        </w:rPr>
        <w:t>EoE_supplementary_revised.md</w:t>
      </w:r>
    </w:p>
    <w:p>
      <w:pPr>
        <w:pStyle w:val="ListBullet"/>
      </w:pPr>
      <w:r>
        <w:rPr>
          <w:rFonts w:ascii="Courier New" w:hAnsi="Courier New"/>
          <w:sz w:val="18"/>
        </w:rPr>
        <w:t>decoy_control_memo.md</w:t>
      </w:r>
      <w:r>
        <w:t xml:space="preserve"> (standalone write-up of both compute experiments)</w:t>
      </w:r>
    </w:p>
    <w:p>
      <w:pPr>
        <w:pStyle w:val="ListBullet"/>
      </w:pPr>
      <w:r>
        <w:t xml:space="preserve">Figures: </w:t>
      </w:r>
      <w:r>
        <w:rPr>
          <w:rFonts w:ascii="Courier New" w:hAnsi="Courier New"/>
          <w:sz w:val="18"/>
        </w:rPr>
        <w:t>decoy_calibration.png</w:t>
      </w:r>
      <w:r>
        <w:t xml:space="preserve"> (Fig. 5/S13), </w:t>
      </w:r>
      <w:r>
        <w:rPr>
          <w:rFonts w:ascii="Courier New" w:hAnsi="Courier New"/>
          <w:sz w:val="18"/>
        </w:rPr>
        <w:t>chai_concordance.png</w:t>
      </w:r>
      <w:r>
        <w:t xml:space="preserve"> (Fig. 7/S14)</w:t>
      </w:r>
    </w:p>
    <w:p>
      <w:pPr>
        <w:pStyle w:val="ListBullet"/>
      </w:pPr>
      <w:r>
        <w:t xml:space="preserve">Tables: </w:t>
      </w:r>
      <w:r>
        <w:rPr>
          <w:rFonts w:ascii="Courier New" w:hAnsi="Courier New"/>
          <w:sz w:val="18"/>
        </w:rPr>
        <w:t>TableS6_concordance_and_controls.csv</w:t>
      </w:r>
      <w:r>
        <w:t xml:space="preserve">, </w:t>
      </w:r>
      <w:r>
        <w:rPr>
          <w:rFonts w:ascii="Courier New" w:hAnsi="Courier New"/>
          <w:sz w:val="18"/>
        </w:rPr>
        <w:t>decoy_control_results.csv</w:t>
      </w:r>
      <w:r>
        <w:t xml:space="preserve">, </w:t>
      </w:r>
      <w:r>
        <w:rPr>
          <w:rFonts w:ascii="Courier New" w:hAnsi="Courier New"/>
          <w:sz w:val="18"/>
        </w:rPr>
        <w:t>decoy_control_spec.csv</w:t>
      </w:r>
      <w:r>
        <w:t>,</w:t>
      </w:r>
    </w:p>
    <w:p>
      <w:r>
        <w:rPr>
          <w:rFonts w:ascii="Courier New" w:hAnsi="Courier New"/>
          <w:sz w:val="18"/>
        </w:rPr>
        <w:t>chai_boltz_concordance.csv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