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/>
      <w:r>
        <w:t>Decoy / Negative-Control Calibration of the Boltz-2 Validation (RP-1)</w:t>
      </w:r>
    </w:p>
    <w:p>
      <w:r>
        <w:rPr>
          <w:b/>
        </w:rPr>
        <w:t>Purpose.</w:t>
      </w:r>
      <w:r>
        <w:t xml:space="preserve"> The mock peer-review's controlling objection (Reviewer 2, echoed by Reviewer 3) was that</w:t>
      </w:r>
    </w:p>
    <w:p>
      <w:r>
        <w:t>"59/60 passed ipTM&gt;0.5 &amp; complex-pLDDT&gt;0.7" has no null distribution, so the pass rate is</w:t>
      </w:r>
    </w:p>
    <w:p>
      <w:r>
        <w:t>uninterpretable and the single-model co-folding is circular. This memo reports a decoy-control</w:t>
      </w:r>
    </w:p>
    <w:p>
      <w:r>
        <w:t xml:space="preserve">experiment that supplies the missing null, run under the </w:t>
      </w:r>
      <w:r>
        <w:rPr>
          <w:b/>
        </w:rPr>
        <w:t>identical</w:t>
      </w:r>
      <w:r>
        <w:t xml:space="preserve"> Boltz-2 protocol as the</w:t>
      </w:r>
    </w:p>
    <w:p>
      <w:r>
        <w:t>original design validation (MSA server, 3 recycling steps, 3 diffusion samples, complex confidence</w:t>
      </w:r>
    </w:p>
    <w:p>
      <w:r>
        <w:t xml:space="preserve">read from </w:t>
      </w:r>
      <w:r>
        <w:rPr>
          <w:rFonts w:ascii="Courier New" w:hAnsi="Courier New"/>
          <w:sz w:val="18"/>
        </w:rPr>
        <w:t>confidence_*_model_0.json</w:t>
      </w:r>
      <w:r>
        <w:t>).</w:t>
      </w:r>
    </w:p>
    <w:p>
      <w:r>
        <w:rPr>
          <w:b/>
        </w:rPr>
        <w:t>Design.</w:t>
      </w:r>
      <w:r>
        <w:t xml:space="preserve"> 36 binder–target complexes co-folded on 1×A100-80GB (job wall 24 min, 0 failures):</w:t>
      </w:r>
    </w:p>
    <w:p>
      <w:pPr>
        <w:pStyle w:val="ListBullet"/>
      </w:pPr>
      <w:r>
        <w:rPr>
          <w:b/>
        </w:rPr>
        <w:t>24 scrambled decoys</w:t>
      </w:r>
      <w:r>
        <w:t xml:space="preserve"> (12 per target): each is a real design's binder sequence with residues</w:t>
      </w:r>
    </w:p>
    <w:p>
      <w:r>
        <w:t>randomly permuted — identical length and amino-acid composition, interface geometry destroyed.</w:t>
      </w:r>
    </w:p>
    <w:p>
      <w:pPr>
        <w:pStyle w:val="ListBullet"/>
      </w:pPr>
      <w:r>
        <w:rPr>
          <w:b/>
        </w:rPr>
        <w:t>8 random decoys</w:t>
      </w:r>
      <w:r>
        <w:t xml:space="preserve"> (4 per target): length-matched sequences drawn from the natural aa background.</w:t>
      </w:r>
    </w:p>
    <w:p>
      <w:pPr>
        <w:pStyle w:val="ListBullet"/>
      </w:pPr>
      <w:r>
        <w:rPr>
          <w:b/>
        </w:rPr>
        <w:t>4 reproduction controls</w:t>
      </w:r>
      <w:r>
        <w:t xml:space="preserve"> (2 per target): original lead + a mid-ranked design, re-folded verbatim</w:t>
      </w:r>
    </w:p>
    <w:p>
      <w:r>
        <w:t>to confirm the protocol reproduces the reported metrics.</w:t>
      </w:r>
    </w:p>
    <w:p>
      <w:r>
        <w:rPr>
          <w:b/>
        </w:rPr>
        <w:t>Reproduction controls check out.</w:t>
      </w:r>
      <w:r>
        <w:t xml:space="preserve"> Re-folding the originals recovered their reported metrics within</w:t>
      </w:r>
    </w:p>
    <w:p>
      <w:r>
        <w:t>diffusion-sampling noise (CCL26 lead ipTM 0.942→0.904; POSTN lead 0.901→0.928), so the decoy</w:t>
      </w:r>
    </w:p>
    <w:p>
      <w:r>
        <w:t>comparison is apples-to-apples.</w:t>
      </w:r>
    </w:p>
    <w:p>
      <w:pPr>
        <w:pStyle w:val="Heading2"/>
      </w:pPr>
      <w:r/>
      <w:r>
        <w:t>Headline finding: ipTM and the pass threshold do NOT discriminate designs from scrambled decoys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Metric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CCL26 design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CCL26 scrambled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CCL26 random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POSTN design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POSTN scrambled</w:t>
            </w:r>
          </w:p>
        </w:tc>
        <w:tc>
          <w:tcPr>
            <w:tcW w:type="dxa" w:w="1234"/>
          </w:tcPr>
          <w:p>
            <w:r>
              <w:rPr>
                <w:b/>
              </w:rPr>
            </w:r>
            <w:r>
              <w:rPr>
                <w:b/>
              </w:rPr>
              <w:t>POSTN random</w:t>
            </w:r>
          </w:p>
        </w:tc>
      </w:tr>
      <w:tr>
        <w:tc>
          <w:tcPr>
            <w:tcW w:type="dxa" w:w="1234"/>
          </w:tcPr>
          <w:p>
            <w:r/>
            <w:r>
              <w:t>median ipTM</w:t>
            </w:r>
          </w:p>
        </w:tc>
        <w:tc>
          <w:tcPr>
            <w:tcW w:type="dxa" w:w="1234"/>
          </w:tcPr>
          <w:p>
            <w:r/>
            <w:r>
              <w:t>0.852</w:t>
            </w:r>
          </w:p>
        </w:tc>
        <w:tc>
          <w:tcPr>
            <w:tcW w:type="dxa" w:w="1234"/>
          </w:tcPr>
          <w:p>
            <w:r/>
            <w:r>
              <w:t>0.797</w:t>
            </w:r>
          </w:p>
        </w:tc>
        <w:tc>
          <w:tcPr>
            <w:tcW w:type="dxa" w:w="1234"/>
          </w:tcPr>
          <w:p>
            <w:r/>
            <w:r>
              <w:t>0.909</w:t>
            </w:r>
          </w:p>
        </w:tc>
        <w:tc>
          <w:tcPr>
            <w:tcW w:type="dxa" w:w="1234"/>
          </w:tcPr>
          <w:p>
            <w:r/>
            <w:r>
              <w:t>0.780</w:t>
            </w:r>
          </w:p>
        </w:tc>
        <w:tc>
          <w:tcPr>
            <w:tcW w:type="dxa" w:w="1234"/>
          </w:tcPr>
          <w:p>
            <w:r/>
            <w:r>
              <w:t>0.804</w:t>
            </w:r>
          </w:p>
        </w:tc>
        <w:tc>
          <w:tcPr>
            <w:tcW w:type="dxa" w:w="1234"/>
          </w:tcPr>
          <w:p>
            <w:r/>
            <w:r>
              <w:t>0.943</w:t>
            </w:r>
          </w:p>
        </w:tc>
      </w:tr>
      <w:tr>
        <w:tc>
          <w:tcPr>
            <w:tcW w:type="dxa" w:w="1234"/>
          </w:tcPr>
          <w:p>
            <w:r/>
            <w:r>
              <w:t>% pass (ipTM&gt;0.5 &amp; pLDDT&gt;0.7)</w:t>
            </w:r>
          </w:p>
        </w:tc>
        <w:tc>
          <w:tcPr>
            <w:tcW w:type="dxa" w:w="1234"/>
          </w:tcPr>
          <w:p>
            <w:r/>
            <w:r>
              <w:t>100%</w:t>
            </w:r>
          </w:p>
        </w:tc>
        <w:tc>
          <w:tcPr>
            <w:tcW w:type="dxa" w:w="1234"/>
          </w:tcPr>
          <w:p>
            <w:r/>
            <w:r>
              <w:t>92%</w:t>
            </w:r>
          </w:p>
        </w:tc>
        <w:tc>
          <w:tcPr>
            <w:tcW w:type="dxa" w:w="1234"/>
          </w:tcPr>
          <w:p>
            <w:r/>
            <w:r>
              <w:t>0%</w:t>
            </w:r>
          </w:p>
        </w:tc>
        <w:tc>
          <w:tcPr>
            <w:tcW w:type="dxa" w:w="1234"/>
          </w:tcPr>
          <w:p>
            <w:r/>
            <w:r>
              <w:t>97%</w:t>
            </w:r>
          </w:p>
        </w:tc>
        <w:tc>
          <w:tcPr>
            <w:tcW w:type="dxa" w:w="1234"/>
          </w:tcPr>
          <w:p>
            <w:r/>
            <w:r>
              <w:t>100%</w:t>
            </w:r>
          </w:p>
        </w:tc>
        <w:tc>
          <w:tcPr>
            <w:tcW w:type="dxa" w:w="1234"/>
          </w:tcPr>
          <w:p>
            <w:r/>
            <w:r>
              <w:t>75%</w:t>
            </w:r>
          </w:p>
        </w:tc>
      </w:tr>
    </w:tbl>
    <w:p>
      <w:pPr>
        <w:pStyle w:val="ListBullet"/>
      </w:pPr>
      <w:r>
        <w:rPr>
          <w:b/>
        </w:rPr>
        <w:t>Scrambled decoys pass the confidence gate at essentially the same rate as real designs</w:t>
      </w:r>
    </w:p>
    <w:p>
      <w:r>
        <w:t>(92% CCL26, 100% POSTN vs 100%/97% for designs).</w:t>
      </w:r>
    </w:p>
    <w:p>
      <w:r>
        <w:t xml:space="preserve">Mann–Whitney design&gt;scrambled on ipTM is </w:t>
      </w:r>
      <w:r>
        <w:rPr>
          <w:b/>
        </w:rPr>
        <w:t>not significant</w:t>
      </w:r>
      <w:r>
        <w:t xml:space="preserve"> for either target (CCL26 p=0.16,</w:t>
      </w:r>
    </w:p>
    <w:p>
      <w:r>
        <w:t xml:space="preserve">POSTN p=0.80 — POSTN scrambled actually scored marginally </w:t>
      </w:r>
      <w:r>
        <w:rPr>
          <w:i/>
        </w:rPr>
        <w:t>higher</w:t>
      </w:r>
      <w:r>
        <w:t>).</w:t>
      </w:r>
    </w:p>
    <w:p>
      <w:pPr>
        <w:pStyle w:val="ListBullet"/>
      </w:pPr>
      <w:r>
        <w:rPr>
          <w:b/>
        </w:rPr>
        <w:t>ipTM is even higher for random-composition sequences</w:t>
      </w:r>
      <w:r>
        <w:t xml:space="preserve"> (median ~0.89–0.94), confirming that for a</w:t>
      </w:r>
    </w:p>
    <w:p>
      <w:r>
        <w:t>small compact target, Boltz-2 assigns confident interface scores to almost any polypeptide placed</w:t>
      </w:r>
    </w:p>
    <w:p>
      <w:r>
        <w:t xml:space="preserve">against it. ipTM alone is </w:t>
      </w:r>
      <w:r>
        <w:rPr>
          <w:b/>
        </w:rPr>
        <w:t>not</w:t>
      </w:r>
      <w:r>
        <w:t xml:space="preserve"> evidence of designed, specific binding.</w:t>
      </w:r>
    </w:p>
    <w:p>
      <w:pPr>
        <w:pStyle w:val="Heading2"/>
      </w:pPr>
      <w:r/>
      <w:r>
        <w:t xml:space="preserve">What the threshold </w:t>
      </w:r>
      <w:r>
        <w:rPr>
          <w:i/>
        </w:rPr>
        <w:t>does</w:t>
      </w:r>
      <w:r>
        <w:t xml:space="preserve"> catch: complex pLDDT excludes random junk, weakly</w:t>
      </w:r>
    </w:p>
    <w:p>
      <w:r>
        <w:t xml:space="preserve">complex pLDDT separates </w:t>
      </w:r>
      <w:r>
        <w:rPr>
          <w:b/>
        </w:rPr>
        <w:t>random</w:t>
      </w:r>
      <w:r>
        <w:t xml:space="preserve"> sequences from designs, but unevenly by target. For CCL26 the effect</w:t>
      </w:r>
    </w:p>
    <w:p>
      <w:r>
        <w:t>is clear (random median pLDDT ~0.55 vs design 0.84; random pass rate 0%). For POSTN it is weak: random</w:t>
      </w:r>
    </w:p>
    <w:p>
      <w:r>
        <w:t>median pLDDT ~0.73 sits just above the 0.7 line and 75% (3/4) of random decoys still pass the full gate,</w:t>
      </w:r>
    </w:p>
    <w:p>
      <w:r>
        <w:t xml:space="preserve">so pLDDT does </w:t>
      </w:r>
      <w:r>
        <w:rPr>
          <w:b/>
        </w:rPr>
        <w:t>not</w:t>
      </w:r>
      <w:r>
        <w:t xml:space="preserve"> meaningfully exclude random sequences for POSTN. The design&gt;random pLDDT</w:t>
      </w:r>
    </w:p>
    <w:p>
      <w:r>
        <w:t>difference is significant for both (CCL26 p=0.018, POSTN p=0.0015), but the threshold only converts that</w:t>
      </w:r>
    </w:p>
    <w:p>
      <w:r>
        <w:t xml:space="preserve">into exclusion for CCL26. Against </w:t>
      </w:r>
      <w:r>
        <w:rPr>
          <w:b/>
        </w:rPr>
        <w:t>scrambled</w:t>
      </w:r>
      <w:r>
        <w:t xml:space="preserve"> designs pLDDT does no work for either target (scrambled</w:t>
      </w:r>
    </w:p>
    <w:p>
      <w:r>
        <w:t>retains composition and folds to design-level pLDDT). Net: the fold-confidence half of the gate filters</w:t>
      </w:r>
    </w:p>
    <w:p>
      <w:r>
        <w:t>unstructured CCL26 sequences and little else.</w:t>
      </w:r>
    </w:p>
    <w:p>
      <w:pPr>
        <w:pStyle w:val="Heading2"/>
      </w:pPr>
      <w:r/>
      <w:r>
        <w:t>The epitope-overlap analysis is the only metric with signal — and it is weak</w:t>
      </w:r>
    </w:p>
    <w:p>
      <w:r>
        <w:t>Focal epitope engagement (≥3 hotspots contacted) is the one axis where designs beat scrambled decoys: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CCL26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POSTN</w:t>
            </w:r>
          </w:p>
        </w:tc>
      </w:tr>
      <w:tr>
        <w:tc>
          <w:tcPr>
            <w:tcW w:type="dxa" w:w="2880"/>
          </w:tcPr>
          <w:p>
            <w:r/>
            <w:r>
              <w:t>designs ≥3 epitope hits</w:t>
            </w:r>
          </w:p>
        </w:tc>
        <w:tc>
          <w:tcPr>
            <w:tcW w:type="dxa" w:w="2880"/>
          </w:tcPr>
          <w:p>
            <w:r/>
            <w:r>
              <w:t>43%</w:t>
            </w:r>
          </w:p>
        </w:tc>
        <w:tc>
          <w:tcPr>
            <w:tcW w:type="dxa" w:w="2880"/>
          </w:tcPr>
          <w:p>
            <w:r/>
            <w:r>
              <w:t>17%</w:t>
            </w:r>
          </w:p>
        </w:tc>
      </w:tr>
      <w:tr>
        <w:tc>
          <w:tcPr>
            <w:tcW w:type="dxa" w:w="2880"/>
          </w:tcPr>
          <w:p>
            <w:r/>
            <w:r>
              <w:t>scrambled ≥3 epitope hits</w:t>
            </w:r>
          </w:p>
        </w:tc>
        <w:tc>
          <w:tcPr>
            <w:tcW w:type="dxa" w:w="2880"/>
          </w:tcPr>
          <w:p>
            <w:r/>
            <w:r>
              <w:t>25%</w:t>
            </w:r>
          </w:p>
        </w:tc>
        <w:tc>
          <w:tcPr>
            <w:tcW w:type="dxa" w:w="2880"/>
          </w:tcPr>
          <w:p>
            <w:r/>
            <w:r>
              <w:t>0%</w:t>
            </w:r>
          </w:p>
        </w:tc>
      </w:tr>
    </w:tbl>
    <w:p>
      <w:r>
        <w:t>The direction is correct (designs engage the epitope more focally than scrambled controls), but the</w:t>
      </w:r>
    </w:p>
    <w:p>
      <w:r>
        <w:t>margin is modest and, on this sample, the Mann–Whitney tests on epitope-hit count and on the</w:t>
      </w:r>
    </w:p>
    <w:p>
      <w:r>
        <w:t xml:space="preserve">on-target composite score do </w:t>
      </w:r>
      <w:r>
        <w:rPr>
          <w:b/>
        </w:rPr>
        <w:t>not</w:t>
      </w:r>
      <w:r>
        <w:t xml:space="preserve"> reach significance (all p&gt;0.1). The on-target composite is</w:t>
      </w:r>
    </w:p>
    <w:p>
      <w:r>
        <w:t xml:space="preserve">therefore better supported than raw ipTM as a </w:t>
      </w:r>
      <w:r>
        <w:rPr>
          <w:i/>
        </w:rPr>
        <w:t>ranking</w:t>
      </w:r>
      <w:r>
        <w:t xml:space="preserve"> heuristic, but the decoy set does not</w:t>
      </w:r>
    </w:p>
    <w:p>
      <w:r>
        <w:t>establish that it distinguishes true binders from same-composition noise at the single-design level.</w:t>
      </w:r>
    </w:p>
    <w:p>
      <w:pPr>
        <w:pStyle w:val="Heading2"/>
      </w:pPr>
      <w:r/>
      <w:r>
        <w:t>Consequences for the manuscript</w:t>
      </w:r>
    </w:p>
    <w:p>
      <w:pPr>
        <w:pStyle w:val="ListNumber"/>
      </w:pPr>
      <w:r>
        <w:rPr>
          <w:b/>
        </w:rPr>
        <w:t>"59/60 passed" must be reframed, not just softened.</w:t>
      </w:r>
      <w:r>
        <w:t xml:space="preserve"> The correct statement is that 59/60 designs</w:t>
      </w:r>
    </w:p>
    <w:p>
      <w:r>
        <w:t xml:space="preserve">cross a confidence threshold that ~92–100% of </w:t>
      </w:r>
      <w:r>
        <w:rPr>
          <w:i/>
        </w:rPr>
        <w:t>composition-matched scrambled sequences also cross</w:t>
      </w:r>
      <w:r>
        <w:t>.</w:t>
      </w:r>
    </w:p>
    <w:p>
      <w:r>
        <w:t>The pass rate is not evidence of design success; it is close to the null pass rate. This is the</w:t>
      </w:r>
    </w:p>
    <w:p>
      <w:r>
        <w:t>single most important revision and it strengthens the paper's credibility to state it plainly.</w:t>
      </w:r>
    </w:p>
    <w:p>
      <w:pPr>
        <w:pStyle w:val="ListNumber"/>
      </w:pPr>
      <w:r>
        <w:rPr>
          <w:b/>
        </w:rPr>
        <w:t>The paper's real (weak) evidence for on-target design is the epitope-overlap analysis</w:t>
      </w:r>
      <w:r>
        <w:t>, which</w:t>
      </w:r>
    </w:p>
    <w:p>
      <w:r>
        <w:t>should be promoted to the primary validation readout, with the decoy null shown alongside it, and</w:t>
      </w:r>
    </w:p>
    <w:p>
      <w:r>
        <w:t>its statistical weakness disclosed.</w:t>
      </w:r>
    </w:p>
    <w:p>
      <w:pPr>
        <w:pStyle w:val="ListNumber"/>
      </w:pPr>
      <w:r>
        <w:rPr>
          <w:b/>
        </w:rPr>
        <w:t>ipTM/pLDDT thresholds should be presented as fold-plausibility filters, not binding validation.</w:t>
      </w:r>
    </w:p>
    <w:p>
      <w:r>
        <w:t>"Validated" → "computationally assessed"; interface confidence cannot establish affinity or</w:t>
      </w:r>
    </w:p>
    <w:p>
      <w:r>
        <w:t>specificity, and here demonstrably does not distinguish scrambled from designed sequence.</w:t>
      </w:r>
    </w:p>
    <w:p>
      <w:pPr>
        <w:pStyle w:val="ListNumber"/>
      </w:pPr>
      <w:r>
        <w:rPr>
          <w:b/>
        </w:rPr>
        <w:t>The orthogonal-predictor check (RP-2) is now higher priority</w:t>
      </w:r>
      <w:r>
        <w:t>, since single-model ipTM is shown</w:t>
      </w:r>
    </w:p>
    <w:p>
      <w:r>
        <w:t>to be uninformative for these targets.</w:t>
      </w:r>
    </w:p>
    <w:p>
      <w:pPr>
        <w:pStyle w:val="Heading2"/>
      </w:pPr>
      <w:r/>
      <w:r>
        <w:t>Follow-up: orthogonal-predictor concordance (RP-2, completed)</w:t>
      </w:r>
    </w:p>
    <w:p>
      <w:r>
        <w:t>All 60 designs were re-folded with Chai-1 (architecturally distinct co-folder; ESM2 embeddings, MSA</w:t>
      </w:r>
    </w:p>
    <w:p>
      <w:r>
        <w:t>server, 3 trunk recycles, 200 diffusion timesteps, seed 42) under matched settings. The two predictors</w:t>
      </w:r>
    </w:p>
    <w:p>
      <w:r>
        <w:t>disagree sharply: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CCL26 (n=30)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POSTN (n=30)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all 60</w:t>
            </w:r>
          </w:p>
        </w:tc>
      </w:tr>
      <w:tr>
        <w:tc>
          <w:tcPr>
            <w:tcW w:type="dxa" w:w="2160"/>
          </w:tcPr>
          <w:p>
            <w:r/>
            <w:r>
              <w:t>Boltz-2 median ipTM</w:t>
            </w:r>
          </w:p>
        </w:tc>
        <w:tc>
          <w:tcPr>
            <w:tcW w:type="dxa" w:w="2160"/>
          </w:tcPr>
          <w:p>
            <w:r/>
            <w:r>
              <w:t>0.852</w:t>
            </w:r>
          </w:p>
        </w:tc>
        <w:tc>
          <w:tcPr>
            <w:tcW w:type="dxa" w:w="2160"/>
          </w:tcPr>
          <w:p>
            <w:r/>
            <w:r>
              <w:t>0.780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</w:tr>
      <w:tr>
        <w:tc>
          <w:tcPr>
            <w:tcW w:type="dxa" w:w="2160"/>
          </w:tcPr>
          <w:p>
            <w:r/>
            <w:r>
              <w:t>Chai-1 median ipTM</w:t>
            </w:r>
          </w:p>
        </w:tc>
        <w:tc>
          <w:tcPr>
            <w:tcW w:type="dxa" w:w="2160"/>
          </w:tcPr>
          <w:p>
            <w:r/>
            <w:r>
              <w:t>0.186</w:t>
            </w:r>
          </w:p>
        </w:tc>
        <w:tc>
          <w:tcPr>
            <w:tcW w:type="dxa" w:w="2160"/>
          </w:tcPr>
          <w:p>
            <w:r/>
            <w:r>
              <w:t>0.328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</w:tr>
      <w:tr>
        <w:tc>
          <w:tcPr>
            <w:tcW w:type="dxa" w:w="2160"/>
          </w:tcPr>
          <w:p>
            <w:r/>
            <w:r>
              <w:t>Chai-1 ipTM&gt;0.5 pass</w:t>
            </w:r>
          </w:p>
        </w:tc>
        <w:tc>
          <w:tcPr>
            <w:tcW w:type="dxa" w:w="2160"/>
          </w:tcPr>
          <w:p>
            <w:r/>
            <w:r>
              <w:t>0%</w:t>
            </w:r>
          </w:p>
        </w:tc>
        <w:tc>
          <w:tcPr>
            <w:tcW w:type="dxa" w:w="2160"/>
          </w:tcPr>
          <w:p>
            <w:r/>
            <w:r>
              <w:t>13%</w:t>
            </w:r>
          </w:p>
        </w:tc>
        <w:tc>
          <w:tcPr>
            <w:tcW w:type="dxa" w:w="2160"/>
          </w:tcPr>
          <w:p>
            <w:r/>
            <w:r>
              <w:t>7%</w:t>
            </w:r>
          </w:p>
        </w:tc>
      </w:tr>
      <w:tr>
        <w:tc>
          <w:tcPr>
            <w:tcW w:type="dxa" w:w="2160"/>
          </w:tcPr>
          <w:p>
            <w:r/>
            <w:r>
              <w:t>Spearman ρ (Boltz vs Chai)</w:t>
            </w:r>
          </w:p>
        </w:tc>
        <w:tc>
          <w:tcPr>
            <w:tcW w:type="dxa" w:w="2160"/>
          </w:tcPr>
          <w:p>
            <w:r/>
            <w:r>
              <w:t>−0.14 (n.s.)</w:t>
            </w:r>
          </w:p>
        </w:tc>
        <w:tc>
          <w:tcPr>
            <w:tcW w:type="dxa" w:w="2160"/>
          </w:tcPr>
          <w:p>
            <w:r/>
            <w:r>
              <w:t>+0.38 (p=0.04)</w:t>
            </w:r>
          </w:p>
        </w:tc>
        <w:tc>
          <w:tcPr>
            <w:tcW w:type="dxa" w:w="2160"/>
          </w:tcPr>
          <w:p>
            <w:r/>
            <w:r>
              <w:t>−0.13 (n.s.)</w:t>
            </w:r>
          </w:p>
        </w:tc>
      </w:tr>
    </w:tbl>
    <w:p>
      <w:r>
        <w:t>Both leads collapse in Chai-1 (CCL26 lead 0.942→0.134; POSTN lead 0.901→0.225). Only 4/60 designs reach</w:t>
      </w:r>
    </w:p>
    <w:p>
      <w:r>
        <w:t>Chai-1's ipTM&gt;0.5 line, versus 59/60 in Boltz-2, and per-design rankings are not concordant overall. No</w:t>
      </w:r>
    </w:p>
    <w:p>
      <w:r>
        <w:t>design is confidently a binder in both models. This is the decisive confirmation that single-model</w:t>
      </w:r>
    </w:p>
    <w:p>
      <w:r>
        <w:t>Boltz-2 confidence is not evidence of binding for these targets: the decoy calibration shows ipTM cannot</w:t>
      </w:r>
    </w:p>
    <w:p>
      <w:r>
        <w:t xml:space="preserve">separate designs from scrambled decoys </w:t>
      </w:r>
      <w:r>
        <w:rPr>
          <w:i/>
        </w:rPr>
        <w:t>within</w:t>
      </w:r>
      <w:r>
        <w:t xml:space="preserve"> Boltz-2, and the concordance result shows the designs'</w:t>
      </w:r>
    </w:p>
    <w:p>
      <w:r>
        <w:t>Boltz-2 confidence does not replicate in a second model at all. Any future selection must require</w:t>
      </w:r>
    </w:p>
    <w:p>
      <w:r>
        <w:t>cross-model agreement plus decoy-null-beating epitope engagement as an explicit acceptance gate.</w:t>
      </w:r>
    </w:p>
    <w:p>
      <w:r>
        <w:t xml:space="preserve">*Data: </w:t>
      </w:r>
      <w:r>
        <w:rPr>
          <w:rFonts w:ascii="Courier New" w:hAnsi="Courier New"/>
          <w:sz w:val="18"/>
        </w:rPr>
        <w:t>chai_boltz_concordance.csv</w:t>
      </w:r>
      <w:r>
        <w:t xml:space="preserve"> (per-design Boltz vs Chai), </w:t>
      </w:r>
      <w:r>
        <w:rPr>
          <w:rFonts w:ascii="Courier New" w:hAnsi="Courier New"/>
          <w:sz w:val="18"/>
        </w:rPr>
        <w:t>TableS6_concordance_and_controls.csv</w:t>
      </w:r>
      <w:r>
        <w:t>.</w:t>
      </w:r>
    </w:p>
    <w:p>
      <w:r>
        <w:t xml:space="preserve">Figure: </w:t>
      </w:r>
      <w:r>
        <w:rPr>
          <w:rFonts w:ascii="Courier New" w:hAnsi="Courier New"/>
          <w:sz w:val="18"/>
        </w:rPr>
        <w:t>chai_concordance.png</w:t>
      </w:r>
      <w:r>
        <w:t>.*</w:t>
      </w:r>
    </w:p>
    <w:p>
      <w:r>
        <w:t xml:space="preserve">*Data: </w:t>
      </w:r>
      <w:r>
        <w:rPr>
          <w:rFonts w:ascii="Courier New" w:hAnsi="Courier New"/>
          <w:sz w:val="18"/>
        </w:rPr>
        <w:t>decoy_control_results.csv</w:t>
      </w:r>
      <w:r>
        <w:t xml:space="preserve"> (all 36 complexes: ipTM, pLDDT, pTM, epitope hits, on-target score),</w:t>
      </w:r>
    </w:p>
    <w:p>
      <w:r>
        <w:rPr>
          <w:rFonts w:ascii="Courier New" w:hAnsi="Courier New"/>
          <w:sz w:val="18"/>
        </w:rPr>
        <w:t>decoy_control_spec.csv</w:t>
      </w:r>
      <w:r>
        <w:t xml:space="preserve"> (sequence provenance). Figure: </w:t>
      </w:r>
      <w:r>
        <w:rPr>
          <w:rFonts w:ascii="Courier New" w:hAnsi="Courier New"/>
          <w:sz w:val="18"/>
        </w:rPr>
        <w:t>decoy_calibration.png</w:t>
      </w:r>
      <w:r>
        <w:t>.*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