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/>
      <w:r>
        <w:t>Supplementary Information</w:t>
      </w:r>
    </w:p>
    <w:p>
      <w:r>
        <w:rPr>
          <w:b/>
        </w:rPr>
        <w:t>De novo design of neutralizing protein binders against CCL26 and POSTN, two convergent targets in eosinophilic esophagitis</w:t>
      </w:r>
    </w:p>
    <w:p>
      <w:r>
        <w:t>This document contains supplementary figures S1–S12, supplementary tables S1–S5, and supplementary media (two 3D rotation videos). All data products are available as project artifacts.</w:t>
      </w:r>
    </w:p>
    <w:p>
      <w:pPr>
        <w:pStyle w:val="Heading2"/>
      </w:pPr>
      <w:r/>
      <w:r>
        <w:t>Supplementary Figures</w:t>
      </w:r>
    </w:p>
    <w:p>
      <w:pPr>
        <w:pStyle w:val="Heading3"/>
      </w:pPr>
      <w:r/>
      <w:r>
        <w:t>Figure S1 — Meta-analysis effect-size landscape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48076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v563ed14c_figS1_meta_volcan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Figure S1.</w:t>
      </w:r>
      <w:r>
        <w:t xml:space="preserve"> Volcano plot of the nine-cohort EoE random-effects meta-analysis (25,654 genes): pooled log₂ fold-change vs. −log₁₀ adjusted </w:t>
      </w:r>
      <w:r>
        <w:rPr>
          <w:i/>
        </w:rPr>
        <w:t>p</w:t>
      </w:r>
      <w:r>
        <w:t>. CCL26 and POSTN (bold, colored) are among the most strongly up-regulated genes; concordantly down-regulated barrier genes (DSG1, SPINK7, FLG) appear on the left. Dashed horizontal line = FDR 0.05; dotted vertical lines = ±1 log₂FC.</w:t>
      </w:r>
    </w:p>
    <w:p>
      <w:pPr>
        <w:pStyle w:val="Heading3"/>
      </w:pPr>
      <w:r/>
      <w:r>
        <w:t>Figure S2 — Literature attention vs. omics effect size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484017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v86fde4cf_figS2_concordanc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40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Figure S2.</w:t>
      </w:r>
      <w:r>
        <w:t xml:space="preserve"> Cross-reference of the meta-analysis against the EoE literature corpus (591 abstracts, 2015–2026) and interventional-trial landscape (157 trials). x-axis: meta-analysis pooled log₂FC; y-axis: number of abstracts mentioning the target; marker size proportional to interventional-trial count; color indicates literature↔omics direction concordance. CCL26 and POSTN combine high omics effect size with zero direct interventional trials, unlike the heavily-studied cytokine nodes (IL-13, IL-5, TSLP).</w:t>
      </w:r>
    </w:p>
    <w:p>
      <w:pPr>
        <w:pStyle w:val="Heading3"/>
      </w:pPr>
      <w:r/>
      <w:r>
        <w:t>Figure S3 — Single-cell cell-of-origin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3796596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v25789867_figS3_sc_dotplo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65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Figure S3.</w:t>
      </w:r>
      <w:r>
        <w:t xml:space="preserve"> Single-cell differential-expression dot plot for the up-regulated candidate targets across EoE epithelial and effector-cell compartments. Dot color = log fold-change, dot size = −log₁₀ adjusted </w:t>
      </w:r>
      <w:r>
        <w:rPr>
          <w:i/>
        </w:rPr>
        <w:t>p</w:t>
      </w:r>
      <w:r>
        <w:t>. CCL26 localizes to suprabasal epithelium and POSTN to basal epithelium; CAPN14 spans both epithelial layers, CPA3 marks mast cells, and ALOX15 marks suprabasal epithelium and myeloid cells. (Only genes with up-regulated single-cell markers in the source table are shown.)</w:t>
      </w:r>
    </w:p>
    <w:p>
      <w:pPr>
        <w:pStyle w:val="Heading3"/>
      </w:pPr>
      <w:r/>
      <w:r>
        <w:t>Figure S4 — Omics druggability shortlist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575428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v4abd669a_figS4_shortlis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42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Figure S4.</w:t>
      </w:r>
      <w:r>
        <w:t xml:space="preserve"> Omics-derived druggability priority score for the 20-gene shortlist (filtered for effect size, direction concordance, single-cell specificity, and antibody tractability). POSTN ranks 3rd of 20 and CCL26 11th of 20; both are secreted and suitable for a ligand-trap modality.</w:t>
      </w:r>
    </w:p>
    <w:p>
      <w:pPr>
        <w:pStyle w:val="Heading3"/>
      </w:pPr>
      <w:r/>
      <w:r>
        <w:t>Figure S5 — RFdiffusion backbone quality control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2066741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v4bc82cff_figS5_backbone_qc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674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Figure S5.</w:t>
      </w:r>
      <w:r>
        <w:t xml:space="preserve"> Distributions of binder length, radius of gyration, and hotspot contacts (binder Cα within 10 Å of hotspot Cα) for 40 RFdiffusion backbones per target. All 40 CCL26 and 34/40 POSTN backbones engage ≥3 hotspot residues (dashed line).</w:t>
      </w:r>
    </w:p>
    <w:p>
      <w:pPr>
        <w:pStyle w:val="Heading3"/>
      </w:pPr>
      <w:r/>
      <w:r>
        <w:t>Figure S6 — Epitope definition and solvent accessibility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387991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v743ca3f0_target_epitopes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9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Figure S6.</w:t>
      </w:r>
      <w:r>
        <w:t xml:space="preserve"> Per-residue solvent-accessible surface area (Shrake–Rupley) for the CCL26 and POSTN target structures, with design epitope hotspots highlighted. CCL26 hotspots (16, 17, 54, 55, 56) span the N-loop and C-terminal α-helix basic cluster (CCR3/GAG face); POSTN hotspots (83, 85, 108, 116) form an exposed patch on the FAS1-IV integrin-interaction surface. All epitope residues are surface-exposed.</w:t>
      </w:r>
    </w:p>
    <w:p>
      <w:pPr>
        <w:pStyle w:val="Heading3"/>
      </w:pPr>
      <w:r/>
      <w:r>
        <w:t>Figure S7 — SolubleMPNN score distributions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246888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v403c2f20_figS7_mpnn_scores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88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Figure S7.</w:t>
      </w:r>
      <w:r>
        <w:t xml:space="preserve"> SolubleMPNN score distributions (lower = better) for all 1,920 designed sequences, split by target and sampling temperature (T = 0.1, 0.2, 0.3). Higher temperature broadens the score distribution as expected.</w:t>
      </w:r>
    </w:p>
    <w:p>
      <w:pPr>
        <w:pStyle w:val="Heading3"/>
      </w:pPr>
      <w:r/>
      <w:r>
        <w:t>Figure S8 — Sequence-complexity filter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4388281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v980ffd36_figS8_complexity_filter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82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Figure S8.</w:t>
      </w:r>
      <w:r>
        <w:t xml:space="preserve"> Sequence entropy vs. maximum single-amino-acid fraction for all designed sequences. The complexity filter (entropy ≥ 2.6 bits, max single-aa fraction ≤ 0.40, max single-residue run ≤ 5; dashed lines) removes low-diversity designs, retaining 1,074/1,920 sequences.</w:t>
      </w:r>
    </w:p>
    <w:p>
      <w:pPr>
        <w:pStyle w:val="Heading3"/>
      </w:pPr>
      <w:r/>
      <w:r>
        <w:t>Figure S9 — Full fold-back confidence landscape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458643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vd6f7cc24_figS9_iptm_pldd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643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Figure S9.</w:t>
      </w:r>
      <w:r>
        <w:t xml:space="preserve"> Interface ipTM vs. complex pLDDT for all 60 Boltz-2–folded complexes; marker size proportional to epitope hotspots contacted. 59/60 pass the confidence thresholds (ipTM &gt; 0.5, pLDDT &gt; 0.7; dashed lines). Leads are circled.</w:t>
      </w:r>
    </w:p>
    <w:p>
      <w:pPr>
        <w:pStyle w:val="Heading3"/>
      </w:pPr>
      <w:r/>
      <w:r>
        <w:t>Figure S10 — Epitope-coverage distribution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4136399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v85e6db07_figS10_epitope_cover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63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Figure S10.</w:t>
      </w:r>
      <w:r>
        <w:t xml:space="preserve"> Distribution of the number of epitope hotspots contacted per design (target atom within 5 Å of a binder atom). CCL26 designs engage the epitope more focally (13/30 with ≥3 hits) than POSTN designs (5/30 with ≥3 hits), consistent with the flatter FAS1 integrin face.</w:t>
      </w:r>
    </w:p>
    <w:p>
      <w:pPr>
        <w:pStyle w:val="Heading3"/>
      </w:pPr>
      <w:r/>
      <w:r>
        <w:t>Figure S11 — On-target score ranking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3336175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vf74cb274_figS11_ontarget_rank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61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Figure S11.</w:t>
      </w:r>
      <w:r>
        <w:t xml:space="preserve"> On-target composite score — ipTM × (0.5 + 0.5 × epitope-coverage) × min(pLDDT/0.7, 1) — for all 30 designs per target, ranked. The top-ranked design per target (marked) was selected as the lead.</w:t>
      </w:r>
    </w:p>
    <w:p>
      <w:pPr>
        <w:pStyle w:val="Heading3"/>
      </w:pPr>
      <w:r/>
      <w:r>
        <w:t>Figure S12 — Lead interface contact maps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2984968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v4c679536_figS12_interface_maps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496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Figure S12.</w:t>
      </w:r>
      <w:r>
        <w:t xml:space="preserve"> Residue-level minimum inter-chain distance maps for the two lead complexes (target residue × binder residue). Colored horizontal lines mark epitope hotspot rows; the close-contact (yellow) bands align with the hotspots, confirming on-target engagement at the residue level.</w:t>
      </w:r>
    </w:p>
    <w:p>
      <w:pPr>
        <w:pStyle w:val="Heading3"/>
      </w:pPr>
      <w:r/>
      <w:r>
        <w:t>Figure S13 — Negative-control calibration (main Figure 5, full)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1989838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v36ccbb5f_decoy_calibration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9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Figure S13.</w:t>
      </w:r>
      <w:r>
        <w:t xml:space="preserve"> Negative-control calibration of the Boltz-2 co-folding readout (identical to main Figure 5, reproduced here at full size). Designs vs. composition-matched scrambled-sequence decoys vs. random-composition decoys, all folded under the identical protocol. (A) interface ipTM; (B) complex pLDDT; (C) percentage crossing the ipTM &gt; 0.5 &amp; pLDDT &gt; 0.7 gate. Scrambled decoys cross the confidence gate at design-level rates (92–100%), and design &gt; scrambled ipTM is non-significant (Mann–Whitney CCL26 p = 0.16, POSTN p = 0.80).</w:t>
      </w:r>
    </w:p>
    <w:p>
      <w:pPr>
        <w:pStyle w:val="Heading3"/>
      </w:pPr>
      <w:r/>
      <w:r>
        <w:t>Figure S14 — Orthogonal-predictor concordance (main Figure 7, full)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2701297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v570deef0_chai_concordanc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12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Figure S14.</w:t>
      </w:r>
      <w:r>
        <w:t xml:space="preserve"> Boltz-2 vs. Chai-1 interface ipTM for all 60 designs (identical to main Figure 7, reproduced here at full size). (A) per-design scatter; (B) median ipTM by model. Overall Spearman ρ = −0.13 (n.s.); 7% of designs pass Chai-1's ipTM &gt; 0.5 threshold vs. 98% in Boltz-2.</w:t>
      </w:r>
    </w:p>
    <w:p>
      <w:pPr>
        <w:pStyle w:val="Heading2"/>
      </w:pPr>
      <w:r/>
      <w:r>
        <w:t>Supplementary Tables</w:t>
      </w:r>
    </w:p>
    <w:p>
      <w:pPr>
        <w:pStyle w:val="ListBullet"/>
      </w:pPr>
      <w:r>
        <w:rPr>
          <w:b/>
        </w:rPr>
        <w:t>Table S1 — Meta-analysis (top genes).</w:t>
      </w:r>
      <w:r>
        <w:t xml:space="preserve"> Nine-cohort random-effects meta-analysis results (pooled log₂FC, SE, z, p, adjusted p, I², k, direction) for the top 60 genes by |z|, including CCL26 and POSTN. </w:t>
      </w:r>
      <w:r>
        <w:rPr>
          <w:rFonts w:ascii="Courier New" w:hAnsi="Courier New"/>
          <w:sz w:val="18"/>
        </w:rPr>
        <w:t>TableS1_meta_top60.csv</w:t>
      </w:r>
    </w:p>
    <w:p>
      <w:pPr>
        <w:pStyle w:val="ListBullet"/>
      </w:pPr>
      <w:r>
        <w:rPr>
          <w:b/>
        </w:rPr>
        <w:t>Table S2 — Druggability shortlist.</w:t>
      </w:r>
      <w:r>
        <w:t xml:space="preserve"> 20-gene omics-derived shortlist with priority score, accessibility, antibody tractability, single-cell cell-types, and suggested modality. </w:t>
      </w:r>
      <w:r>
        <w:rPr>
          <w:rFonts w:ascii="Courier New" w:hAnsi="Courier New"/>
          <w:sz w:val="18"/>
        </w:rPr>
        <w:t>TableS2_druggability_shortlist.csv</w:t>
      </w:r>
    </w:p>
    <w:p>
      <w:pPr>
        <w:pStyle w:val="ListBullet"/>
      </w:pPr>
      <w:r>
        <w:rPr>
          <w:b/>
        </w:rPr>
        <w:t>Table S3 — Literature × omics cross-reference.</w:t>
      </w:r>
      <w:r>
        <w:t xml:space="preserve"> 45 targets with literature abstract/direction counts, trial counts and max phase, and meta-analysis effect sizes. </w:t>
      </w:r>
      <w:r>
        <w:rPr>
          <w:rFonts w:ascii="Courier New" w:hAnsi="Courier New"/>
          <w:sz w:val="18"/>
        </w:rPr>
        <w:t>TableS3_lit_omics_crossref.csv</w:t>
      </w:r>
    </w:p>
    <w:p>
      <w:pPr>
        <w:pStyle w:val="ListBullet"/>
      </w:pPr>
      <w:r>
        <w:rPr>
          <w:b/>
        </w:rPr>
        <w:t>Table S4 — Fold-back validation (all 60 designs).</w:t>
      </w:r>
      <w:r>
        <w:t xml:space="preserve"> Per-design Boltz-2 metrics: ipTM, complex pLDDT, pTM, confidence, interface residue count, epitope hits and coverage, on-target score. </w:t>
      </w:r>
      <w:r>
        <w:rPr>
          <w:rFonts w:ascii="Courier New" w:hAnsi="Courier New"/>
          <w:sz w:val="18"/>
        </w:rPr>
        <w:t>TableS4_foldback_validation.csv</w:t>
      </w:r>
    </w:p>
    <w:p>
      <w:pPr>
        <w:pStyle w:val="ListBullet"/>
      </w:pPr>
      <w:r>
        <w:rPr>
          <w:b/>
        </w:rPr>
        <w:t>Table S5 — SolubleMPNN summary.</w:t>
      </w:r>
      <w:r>
        <w:t xml:space="preserve"> Per-design/temperature sequence summary: sequence count, best/mean MPNN score, mean entropy (240 backbone×temperature groups). </w:t>
      </w:r>
      <w:r>
        <w:rPr>
          <w:rFonts w:ascii="Courier New" w:hAnsi="Courier New"/>
          <w:sz w:val="18"/>
        </w:rPr>
        <w:t>TableS5_mpnn_summary.csv</w:t>
      </w:r>
    </w:p>
    <w:p>
      <w:pPr>
        <w:pStyle w:val="ListBullet"/>
      </w:pPr>
      <w:r>
        <w:rPr>
          <w:b/>
        </w:rPr>
        <w:t>Table S6 — Negative-control calibration and orthogonal-predictor concordance.</w:t>
      </w:r>
      <w:r>
        <w:t xml:space="preserve"> Per-design Boltz-2 metrics (ipTM, complex pLDDT, pTM, epitope hits, on-target score) alongside Chai-1 interface ipTM and the Boltz−Chai ipTM difference for all 60 designs; the companion </w:t>
      </w:r>
      <w:r>
        <w:rPr>
          <w:rFonts w:ascii="Courier New" w:hAnsi="Courier New"/>
          <w:sz w:val="18"/>
        </w:rPr>
        <w:t>decoy_control_results.csv</w:t>
      </w:r>
      <w:r>
        <w:t xml:space="preserve"> gives the same Boltz-2 metrics plus epitope hits for the 36 negative-control complexes (24 scrambled, 8 random, 4 reproduction controls). </w:t>
      </w:r>
      <w:r>
        <w:rPr>
          <w:rFonts w:ascii="Courier New" w:hAnsi="Courier New"/>
          <w:sz w:val="18"/>
        </w:rPr>
        <w:t>TableS6_concordance_and_controls.csv</w:t>
      </w:r>
      <w:r>
        <w:t xml:space="preserve">, </w:t>
      </w:r>
      <w:r>
        <w:rPr>
          <w:rFonts w:ascii="Courier New" w:hAnsi="Courier New"/>
          <w:sz w:val="18"/>
        </w:rPr>
        <w:t>decoy_control_results.csv</w:t>
      </w:r>
      <w:r>
        <w:t xml:space="preserve">, </w:t>
      </w:r>
      <w:r>
        <w:rPr>
          <w:rFonts w:ascii="Courier New" w:hAnsi="Courier New"/>
          <w:sz w:val="18"/>
        </w:rPr>
        <w:t>decoy_control_spec.csv</w:t>
      </w:r>
    </w:p>
    <w:p>
      <w:pPr>
        <w:pStyle w:val="Heading2"/>
      </w:pPr>
      <w:r/>
      <w:r>
        <w:t>Supplementary Media</w:t>
      </w:r>
    </w:p>
    <w:p>
      <w:pPr>
        <w:pStyle w:val="ListBullet"/>
      </w:pPr>
      <w:r>
        <w:rPr>
          <w:b/>
        </w:rPr>
        <w:t>Movie S1 — CCL26 lead complex.</w:t>
      </w:r>
      <w:r>
        <w:t xml:space="preserve"> 360° rotation of the CCL26 lead binder–target complex (target grey surface, epitope hotspots blue, binder orange cartoon). </w:t>
      </w:r>
      <w:r>
        <w:rPr>
          <w:rFonts w:ascii="Courier New" w:hAnsi="Courier New"/>
          <w:sz w:val="18"/>
        </w:rPr>
        <w:t>CCL26_binder_complex_360.mp4</w:t>
      </w:r>
    </w:p>
    <w:p>
      <w:pPr>
        <w:pStyle w:val="ListBullet"/>
      </w:pPr>
      <w:r>
        <w:rPr>
          <w:b/>
        </w:rPr>
        <w:t>Movie S2 — POSTN lead complex.</w:t>
      </w:r>
      <w:r>
        <w:t xml:space="preserve"> 360° rotation of the POSTN lead binder–target complex. </w:t>
      </w:r>
      <w:r>
        <w:rPr>
          <w:rFonts w:ascii="Courier New" w:hAnsi="Courier New"/>
          <w:sz w:val="18"/>
        </w:rPr>
        <w:t>POSTN_binder_complex_360.mp4</w:t>
      </w:r>
    </w:p>
    <w:p>
      <w:pPr>
        <w:pStyle w:val="Heading2"/>
      </w:pPr>
      <w:r/>
      <w:r>
        <w:t>Supplementary Methods — key parameters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2880"/>
        <w:gridCol w:w="2880"/>
        <w:gridCol w:w="2880"/>
      </w:tblGrid>
      <w:tr>
        <w:tc>
          <w:tcPr>
            <w:tcW w:type="dxa" w:w="2880"/>
          </w:tcPr>
          <w:p>
            <w:r>
              <w:rPr>
                <w:b/>
              </w:rPr>
            </w:r>
            <w:r>
              <w:rPr>
                <w:b/>
              </w:rPr>
              <w:t>Stage</w:t>
            </w:r>
          </w:p>
        </w:tc>
        <w:tc>
          <w:tcPr>
            <w:tcW w:type="dxa" w:w="2880"/>
          </w:tcPr>
          <w:p>
            <w:r>
              <w:rPr>
                <w:b/>
              </w:rPr>
            </w:r>
            <w:r>
              <w:rPr>
                <w:b/>
              </w:rPr>
              <w:t>Tool</w:t>
            </w:r>
          </w:p>
        </w:tc>
        <w:tc>
          <w:tcPr>
            <w:tcW w:type="dxa" w:w="2880"/>
          </w:tcPr>
          <w:p>
            <w:r>
              <w:rPr>
                <w:b/>
              </w:rPr>
            </w:r>
            <w:r>
              <w:rPr>
                <w:b/>
              </w:rPr>
              <w:t>Key parameters</w:t>
            </w:r>
          </w:p>
        </w:tc>
      </w:tr>
      <w:tr>
        <w:tc>
          <w:tcPr>
            <w:tcW w:type="dxa" w:w="2880"/>
          </w:tcPr>
          <w:p>
            <w:r/>
            <w:r>
              <w:t>Target prep</w:t>
            </w:r>
          </w:p>
        </w:tc>
        <w:tc>
          <w:tcPr>
            <w:tcW w:type="dxa" w:w="2880"/>
          </w:tcPr>
          <w:p>
            <w:r/>
            <w:r>
              <w:t>Biopython</w:t>
            </w:r>
          </w:p>
        </w:tc>
        <w:tc>
          <w:tcPr>
            <w:tcW w:type="dxa" w:w="2880"/>
          </w:tcPr>
          <w:p>
            <w:r/>
            <w:r>
              <w:t>1G2S chain A (CCL26, 71 aa); 5WT7 chain A (POSTN FAS1-IV, 140 aa); first NMR model, standard residues</w:t>
            </w:r>
          </w:p>
        </w:tc>
      </w:tr>
      <w:tr>
        <w:tc>
          <w:tcPr>
            <w:tcW w:type="dxa" w:w="2880"/>
          </w:tcPr>
          <w:p>
            <w:r/>
            <w:r>
              <w:t>Hotspots</w:t>
            </w:r>
          </w:p>
        </w:tc>
        <w:tc>
          <w:tcPr>
            <w:tcW w:type="dxa" w:w="2880"/>
          </w:tcPr>
          <w:p>
            <w:r/>
            <w:r>
              <w:t>Cα spatial compactness</w:t>
            </w:r>
          </w:p>
        </w:tc>
        <w:tc>
          <w:tcPr>
            <w:tcW w:type="dxa" w:w="2880"/>
          </w:tcPr>
          <w:p>
            <w:r/>
            <w:r>
              <w:t>CCL26 [16,17,54,55,56]; POSTN [83,85,108,116]</w:t>
            </w:r>
          </w:p>
        </w:tc>
      </w:tr>
      <w:tr>
        <w:tc>
          <w:tcPr>
            <w:tcW w:type="dxa" w:w="2880"/>
          </w:tcPr>
          <w:p>
            <w:r/>
            <w:r>
              <w:t>Backbones</w:t>
            </w:r>
          </w:p>
        </w:tc>
        <w:tc>
          <w:tcPr>
            <w:tcW w:type="dxa" w:w="2880"/>
          </w:tcPr>
          <w:p>
            <w:r/>
            <w:r>
              <w:t>RFdiffusion</w:t>
            </w:r>
          </w:p>
        </w:tc>
        <w:tc>
          <w:tcPr>
            <w:tcW w:type="dxa" w:w="2880"/>
          </w:tcPr>
          <w:p>
            <w:r/>
            <w:r>
              <w:t>Complex/PPI checkpoint; binder 65–90 aa; noise scale 0; 40/target</w:t>
            </w:r>
          </w:p>
        </w:tc>
      </w:tr>
      <w:tr>
        <w:tc>
          <w:tcPr>
            <w:tcW w:type="dxa" w:w="2880"/>
          </w:tcPr>
          <w:p>
            <w:r/>
            <w:r>
              <w:t>Sequences</w:t>
            </w:r>
          </w:p>
        </w:tc>
        <w:tc>
          <w:tcPr>
            <w:tcW w:type="dxa" w:w="2880"/>
          </w:tcPr>
          <w:p>
            <w:r/>
            <w:r>
              <w:t>SolubleMPNN (v_48_020)</w:t>
            </w:r>
          </w:p>
        </w:tc>
        <w:tc>
          <w:tcPr>
            <w:tcW w:type="dxa" w:w="2880"/>
          </w:tcPr>
          <w:p>
            <w:r/>
            <w:r>
              <w:t>design chain B, target fixed; 8 seqs × 3 T (0.1/0.2/0.3); 1,920 total</w:t>
            </w:r>
          </w:p>
        </w:tc>
      </w:tr>
      <w:tr>
        <w:tc>
          <w:tcPr>
            <w:tcW w:type="dxa" w:w="2880"/>
          </w:tcPr>
          <w:p>
            <w:r/>
            <w:r>
              <w:t>Complexity filter</w:t>
            </w:r>
          </w:p>
        </w:tc>
        <w:tc>
          <w:tcPr>
            <w:tcW w:type="dxa" w:w="2880"/>
          </w:tcPr>
          <w:p>
            <w:r/>
            <w:r>
              <w:t>—</w:t>
            </w:r>
          </w:p>
        </w:tc>
        <w:tc>
          <w:tcPr>
            <w:tcW w:type="dxa" w:w="2880"/>
          </w:tcPr>
          <w:p>
            <w:r/>
            <w:r>
              <w:t>entropy ≥ 2.6; max-run ≤ 5; top-aa ≤ 0.40 (1,074 pass); 30/target selected</w:t>
            </w:r>
          </w:p>
        </w:tc>
      </w:tr>
      <w:tr>
        <w:tc>
          <w:tcPr>
            <w:tcW w:type="dxa" w:w="2880"/>
          </w:tcPr>
          <w:p>
            <w:r/>
            <w:r>
              <w:t>Co-folding assessment</w:t>
            </w:r>
          </w:p>
        </w:tc>
        <w:tc>
          <w:tcPr>
            <w:tcW w:type="dxa" w:w="2880"/>
          </w:tcPr>
          <w:p>
            <w:r/>
            <w:r>
              <w:t>Boltz-2 (</w:t>
            </w:r>
            <w:r>
              <w:rPr>
                <w:rFonts w:ascii="Courier New" w:hAnsi="Courier New"/>
                <w:sz w:val="18"/>
              </w:rPr>
              <w:t>boltz</w:t>
            </w:r>
            <w:r>
              <w:t>)</w:t>
            </w:r>
          </w:p>
        </w:tc>
        <w:tc>
          <w:tcPr>
            <w:tcW w:type="dxa" w:w="2880"/>
          </w:tcPr>
          <w:p>
            <w:r/>
            <w:r>
              <w:rPr>
                <w:rFonts w:ascii="Courier New" w:hAnsi="Courier New"/>
                <w:sz w:val="18"/>
              </w:rPr>
              <w:t>--use_msa_server</w:t>
            </w:r>
            <w:r>
              <w:t>, 3 recycling steps, 3 diffusion samples; ipTM &gt; 0.5 &amp; pLDDT &gt; 0.7 recorded as threshold-crossing rate (not a validation pass — see negative-control calibration)</w:t>
            </w:r>
          </w:p>
        </w:tc>
      </w:tr>
      <w:tr>
        <w:tc>
          <w:tcPr>
            <w:tcW w:type="dxa" w:w="2880"/>
          </w:tcPr>
          <w:p>
            <w:r/>
            <w:r>
              <w:t>On-target score</w:t>
            </w:r>
          </w:p>
        </w:tc>
        <w:tc>
          <w:tcPr>
            <w:tcW w:type="dxa" w:w="2880"/>
          </w:tcPr>
          <w:p>
            <w:r/>
            <w:r>
              <w:t>—</w:t>
            </w:r>
          </w:p>
        </w:tc>
        <w:tc>
          <w:tcPr>
            <w:tcW w:type="dxa" w:w="2880"/>
          </w:tcPr>
          <w:p>
            <w:r/>
            <w:r>
              <w:t>ipTM × (0.5 + 0.5 × epitope-coverage) × min(pLDDT/0.7, 1); epitope-coverage = hotspots with target atom &lt; 5 Å of binder; weights/floor heuristic; ρ = 0.70 vs raw ipTM</w:t>
            </w:r>
          </w:p>
        </w:tc>
      </w:tr>
      <w:tr>
        <w:tc>
          <w:tcPr>
            <w:tcW w:type="dxa" w:w="2880"/>
          </w:tcPr>
          <w:p>
            <w:r/>
            <w:r>
              <w:t>Negative-control calibration</w:t>
            </w:r>
          </w:p>
        </w:tc>
        <w:tc>
          <w:tcPr>
            <w:tcW w:type="dxa" w:w="2880"/>
          </w:tcPr>
          <w:p>
            <w:r/>
            <w:r>
              <w:t>Boltz-2</w:t>
            </w:r>
          </w:p>
        </w:tc>
        <w:tc>
          <w:tcPr>
            <w:tcW w:type="dxa" w:w="2880"/>
          </w:tcPr>
          <w:p>
            <w:r/>
            <w:r>
              <w:t>per target: 12 scrambled (residue-permuted, composition-matched) + 4 random-composition + 2 reproduction decoys (36 total), identical protocol; one-sided Mann–Whitney U on ipTM/pLDDT/epitope/on-target</w:t>
            </w:r>
          </w:p>
        </w:tc>
      </w:tr>
      <w:tr>
        <w:tc>
          <w:tcPr>
            <w:tcW w:type="dxa" w:w="2880"/>
          </w:tcPr>
          <w:p>
            <w:r/>
            <w:r>
              <w:t>Orthogonal predictor</w:t>
            </w:r>
          </w:p>
        </w:tc>
        <w:tc>
          <w:tcPr>
            <w:tcW w:type="dxa" w:w="2880"/>
          </w:tcPr>
          <w:p>
            <w:r/>
            <w:r>
              <w:t>Chai-1 (</w:t>
            </w:r>
            <w:r>
              <w:rPr>
                <w:rFonts w:ascii="Courier New" w:hAnsi="Courier New"/>
                <w:sz w:val="18"/>
              </w:rPr>
              <w:t>chai_lab</w:t>
            </w:r>
            <w:r>
              <w:t>)</w:t>
            </w:r>
          </w:p>
        </w:tc>
        <w:tc>
          <w:tcPr>
            <w:tcW w:type="dxa" w:w="2880"/>
          </w:tcPr>
          <w:p>
            <w:r/>
            <w:r>
              <w:t>all 60 designs; ESM2 embeddings, MSA server, 3 trunk recycles, 200 diffusion timesteps, seed 42; Spearman vs Boltz-2 ipTM</w:t>
            </w:r>
          </w:p>
        </w:tc>
      </w:tr>
      <w:tr>
        <w:tc>
          <w:tcPr>
            <w:tcW w:type="dxa" w:w="2880"/>
          </w:tcPr>
          <w:p>
            <w:r/>
            <w:r>
              <w:t>Druggability priority score</w:t>
            </w:r>
          </w:p>
        </w:tc>
        <w:tc>
          <w:tcPr>
            <w:tcW w:type="dxa" w:w="2880"/>
          </w:tcPr>
          <w:p>
            <w:r/>
            <w:r>
              <w:t>—</w:t>
            </w:r>
          </w:p>
        </w:tc>
        <w:tc>
          <w:tcPr>
            <w:tcW w:type="dxa" w:w="2880"/>
          </w:tcPr>
          <w:p>
            <w:r/>
            <w:r>
              <w:t>composite of pooled effect magnitude, direction concordance (I²-penalized), single-cell specificity, and antibody/ligand-trap tractability, normalized 0–100; heuristic, weights in released code</w:t>
            </w:r>
          </w:p>
        </w:tc>
      </w:tr>
      <w:tr>
        <w:tc>
          <w:tcPr>
            <w:tcW w:type="dxa" w:w="2880"/>
          </w:tcPr>
          <w:p>
            <w:r/>
            <w:r>
              <w:t>Lead structures</w:t>
            </w:r>
          </w:p>
        </w:tc>
        <w:tc>
          <w:tcPr>
            <w:tcW w:type="dxa" w:w="2880"/>
          </w:tcPr>
          <w:p>
            <w:r/>
            <w:r>
              <w:t>Boltz-2 / Biopython</w:t>
            </w:r>
          </w:p>
        </w:tc>
        <w:tc>
          <w:tcPr>
            <w:tcW w:type="dxa" w:w="2880"/>
          </w:tcPr>
          <w:p>
            <w:r/>
            <w:r>
              <w:t>buried SASA = (SASA_target + SASA_binder − SASA_complex)/2, Shrake–Rupley</w:t>
            </w:r>
          </w:p>
        </w:tc>
      </w:tr>
      <w:tr>
        <w:tc>
          <w:tcPr>
            <w:tcW w:type="dxa" w:w="2880"/>
          </w:tcPr>
          <w:p>
            <w:r/>
            <w:r>
              <w:t>Rendering</w:t>
            </w:r>
          </w:p>
        </w:tc>
        <w:tc>
          <w:tcPr>
            <w:tcW w:type="dxa" w:w="2880"/>
          </w:tcPr>
          <w:p>
            <w:r/>
            <w:r>
              <w:t>PyMOL + ffmpeg</w:t>
            </w:r>
          </w:p>
        </w:tc>
        <w:tc>
          <w:tcPr>
            <w:tcW w:type="dxa" w:w="2880"/>
          </w:tcPr>
          <w:p>
            <w:r/>
            <w:r>
              <w:t>180-frame 360° turn, libx264 30 fps</w:t>
            </w:r>
          </w:p>
        </w:tc>
      </w:tr>
    </w:tbl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