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Executive Summary — Personalized pMHC-II Tolerance Antigen-Selection Engine</w:t>
      </w:r>
    </w:p>
    <w:p>
      <w:r>
        <w:rPr>
          <w:b/>
        </w:rPr>
        <w:t>Paper:</w:t>
      </w:r>
      <w:r>
        <w:t xml:space="preserve"> *A patient-specific antigen-selection engine for personalized pMHC-II tolerance therapy in eosinophilic esophagitis.*</w:t>
      </w:r>
    </w:p>
    <w:p>
      <w:r>
        <w:rPr>
          <w:b/>
        </w:rPr>
        <w:t>Status:</w:t>
      </w:r>
      <w:r>
        <w:t xml:space="preserve"> bioRxiv-style preprint (Immunology; secondary Bioinformatics/Molecular Biology). </w:t>
      </w:r>
      <w:r>
        <w:rPr>
          <w:b/>
        </w:rPr>
        <w:t>Preclinical-stage computational design study; all epitope activities are in-silico predictions, structural metrics are model-confidence estimates, and no tetramer or TCR validation has been performed. Not medical advice.</w:t>
      </w:r>
    </w:p>
    <w:p>
      <w:pPr>
        <w:pStyle w:val="Heading1"/>
      </w:pPr>
      <w:r>
        <w:t>What the paper does</w:t>
      </w:r>
    </w:p>
    <w:p>
      <w:r>
        <w:t>It reframes EoE's central obstacle — that patients react to multiple, patient-variable food allergens, so no single epitope can be fixed in advance — as a per-patient computation. It presents (1) an antigen-selection engine that converts a patient's HLA class-II genotype into a ranked, manufacturable epitope set; (2) AlphaFold-multimer structural validation of the selected pMHC-II complexes against explicit acceptance gates; (3) a shared-backbone, swappable-cassette construct design (the PACT™ concept) that makes per-patient manufacturing tractable by changing only the peptide; and (4) a tolerogenic multivalent nanoparticle scaffold for delivery.</w:t>
      </w:r>
    </w:p>
    <w:p>
      <w:pPr>
        <w:pStyle w:val="Heading1"/>
      </w:pPr>
      <w:r>
        <w:t>The core result</w:t>
      </w:r>
    </w:p>
    <w:p>
      <w:pPr>
        <w:pStyle w:val="ListBullet"/>
      </w:pPr>
      <w:r>
        <w:t>Every approved and late-stage EoE therapy is a broad, chronically dosed suppressor; none is antigen-specific and none induces durable tolerance. Yet EoE is mechanistically antigen-specific — a food peptide presented on MHC-II to a pathogenic CD4⁺ T-cell clone.</w:t>
      </w:r>
    </w:p>
    <w:p>
      <w:pPr>
        <w:pStyle w:val="ListBullet"/>
      </w:pPr>
      <w:r>
        <w:t>The engine turns HLA genotype into a ranked presentable-epitope set, and shows that antigen priority is genuinely individual and must be computed, not assumed.</w:t>
      </w:r>
    </w:p>
    <w:p>
      <w:pPr>
        <w:pStyle w:val="Heading1"/>
      </w:pPr>
      <w:r>
        <w:t>Key numbers (all traceable to artifacts/public sources)</w:t>
      </w:r>
    </w:p>
    <w:p>
      <w:pPr>
        <w:pStyle w:val="ListBullet"/>
      </w:pPr>
      <w:r>
        <w:t xml:space="preserve">Scan: three dominant EoE allergens (β-casein, α/β-gliadin, β-conglycinin) × five common HLA-DRB1 alleles = 4,640 peptide × allele evaluations → </w:t>
      </w:r>
      <w:r>
        <w:rPr>
          <w:b/>
        </w:rPr>
        <w:t>832 strong binders (IC₅₀ &lt; 500 nM)</w:t>
      </w:r>
      <w:r>
        <w:t>.</w:t>
      </w:r>
    </w:p>
    <w:p>
      <w:pPr>
        <w:pStyle w:val="ListBullet"/>
      </w:pPr>
      <w:r>
        <w:t xml:space="preserve">Presented epitope load is strongly HLA-dependent: </w:t>
      </w:r>
      <w:r>
        <w:rPr>
          <w:b/>
        </w:rPr>
        <w:t>13 to 352 strong binders per allele</w:t>
      </w:r>
      <w:r>
        <w:t xml:space="preserve"> across the same allergen panel — a 27-fold range that establishes antigen priority as per-patient.</w:t>
      </w:r>
    </w:p>
    <w:p>
      <w:pPr>
        <w:pStyle w:val="ListBullet"/>
      </w:pPr>
      <w:r>
        <w:t xml:space="preserve">Worked example: a milk (β-casein) lead epitope on HLA-DRB1*07:01 clears an </w:t>
      </w:r>
      <w:r>
        <w:rPr>
          <w:b/>
        </w:rPr>
        <w:t>ipTM ≥ 0.87</w:t>
      </w:r>
      <w:r>
        <w:t xml:space="preserve"> acceptance gate with full in-groove peptide engagement.</w:t>
      </w:r>
    </w:p>
    <w:p>
      <w:pPr>
        <w:pStyle w:val="ListBullet"/>
      </w:pPr>
      <w:r>
        <w:t>Delivery: a 20 nm iron-oxide nanoparticle displaying five pMHC copies (~1.4% surface occupancy, ~24× avidity).</w:t>
      </w:r>
    </w:p>
    <w:p>
      <w:pPr>
        <w:pStyle w:val="Heading1"/>
      </w:pPr>
      <w:r>
        <w:t>Why it matters</w:t>
      </w:r>
    </w:p>
    <w:p>
      <w:r>
        <w:t>It converts the "no single causal antigen" problem — the reason EoE has resisted a targeted tolerance therapy — into a tractable personalized-medicine workflow, coupled to a manufacturable, tolerogenic construct design. The framework is a platform template extensible to celiac and other food/auto-antigen disease.</w:t>
      </w:r>
    </w:p>
    <w:p>
      <w:pPr>
        <w:pStyle w:val="Heading1"/>
      </w:pPr>
      <w:r>
        <w:t>Honest verdict and what remains</w:t>
      </w:r>
    </w:p>
    <w:p>
      <w:r>
        <w:t>The framing matches the evidence: the engine's output is a set of *predicted* binders, and MHC-II binding prediction does not by itself establish immunodominance, natural processing, or a tolerogenic (versus effector) outcome. No tetramer or TCR validation exists for any epitope; the milk lead is motivated by documented milk-responsive T cells in EoE, not a validated epitope–allele–TCR triad. Structural validation covers a single worked allele (DRB1*07:01) — extension to all five alleles and to more allergens (egg included) is prediction, not yet folded/validated design. The pMHC tolerance modality remains clinically unproven; the strongest support is mechanistic read-across from the Navacim and celiac (TAK-101) programs. Advancement is framed as a biomarker-first cascade (structural gate → biochemical stability → tetramer → IL-10-biased Tr1 signature → in-vivo/human PD), with a companion diagnostic as a regulatory precondition.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