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Executive Summary — Multivalent Nanoparticle-pMHC-II EoE Tolerance Platform</w:t>
      </w:r>
    </w:p>
    <w:p>
      <w:r>
        <w:rPr>
          <w:b/>
        </w:rPr>
        <w:t>Paper:</w:t>
      </w:r>
      <w:r>
        <w:t xml:space="preserve"> *Rational design of multivalent nanoparticle-pMHC-II immunotherapies for food allergen tolerance induction in eosinophilic esophagitis.*</w:t>
      </w:r>
    </w:p>
    <w:p>
      <w:r>
        <w:rPr>
          <w:b/>
        </w:rPr>
        <w:t>Status:</w:t>
      </w:r>
      <w:r>
        <w:t xml:space="preserve"> bioRxiv-style preprint; citizen-science project by an EoE patient-researcher (PhD immunology) with computational support during a one-week hackathon. </w:t>
      </w:r>
      <w:r>
        <w:rPr>
          <w:b/>
        </w:rPr>
        <w:t>All results are computational (in-silico); epitopes and structures are predictions/model estimates and have not been made or tested in the lab.</w:t>
      </w:r>
    </w:p>
    <w:p>
      <w:pPr>
        <w:pStyle w:val="Heading1"/>
      </w:pPr>
      <w:r>
        <w:t>What the paper does</w:t>
      </w:r>
    </w:p>
    <w:p>
      <w:r>
        <w:t>It presents a rational-design platform for multivalent nanoparticle-pMHC-II immunotherapies aimed at inducing durable, antigen-specific tolerance to the three most common EoE food triggers — dairy, wheat, and soy — rather than suppressing inflammation indefinitely. It integrates computational epitope discovery, high-confidence structural modeling, a multivalent nanoparticle architecture, three therapeutic formats, and a transparent, costed preclinical roadmap with explicit regulatory gates.</w:t>
      </w:r>
    </w:p>
    <w:p>
      <w:pPr>
        <w:pStyle w:val="Heading1"/>
      </w:pPr>
      <w:r>
        <w:t>The three modalities</w:t>
      </w:r>
    </w:p>
    <w:p>
      <w:pPr>
        <w:pStyle w:val="ListBullet"/>
      </w:pPr>
      <w:r>
        <w:rPr>
          <w:b/>
        </w:rPr>
        <w:t>Soluble single-chain pMHC-II</w:t>
      </w:r>
      <w:r>
        <w:t xml:space="preserve"> (449 aa) — DRA–linker–DRB–linker–peptide construct.</w:t>
      </w:r>
    </w:p>
    <w:p>
      <w:pPr>
        <w:pStyle w:val="ListBullet"/>
      </w:pPr>
      <w:r>
        <w:rPr>
          <w:b/>
        </w:rPr>
        <w:t>Multivalent nanoparticle-pMHC</w:t>
      </w:r>
      <w:r>
        <w:t xml:space="preserve"> — 20 nm Fe₃O₄ core, 5 pMHC copies, 5.8 nm spacing, ~24× avidity gain; the tolerogenic scaffold, using standard iron-oxide conjugation chemistry.</w:t>
      </w:r>
    </w:p>
    <w:p>
      <w:pPr>
        <w:pStyle w:val="ListBullet"/>
      </w:pPr>
      <w:r>
        <w:rPr>
          <w:b/>
        </w:rPr>
        <w:t>Tetramer pMHC-II</w:t>
      </w:r>
      <w:r>
        <w:t xml:space="preserve"> (469 aa).</w:t>
      </w:r>
    </w:p>
    <w:p>
      <w:pPr>
        <w:pStyle w:val="Heading1"/>
      </w:pPr>
      <w:r>
        <w:t>Key numbers (all traceable to artifacts/public sources)</w:t>
      </w:r>
    </w:p>
    <w:p>
      <w:pPr>
        <w:pStyle w:val="ListBullet"/>
      </w:pPr>
      <w:r>
        <w:t>Triggers addressed: milk (&gt;60% of patients), wheat (&gt;40%), soy (&gt;30%).</w:t>
      </w:r>
    </w:p>
    <w:p>
      <w:pPr>
        <w:pStyle w:val="ListBullet"/>
      </w:pPr>
      <w:r>
        <w:t xml:space="preserve">Epitope pipeline: 47 candidate epitopes → 12 strong HLA-DRB1*07:01 binders → three leads — dairy </w:t>
      </w:r>
      <w:r>
        <w:rPr>
          <w:b/>
        </w:rPr>
        <w:t>FAQTQSLVY</w:t>
      </w:r>
      <w:r>
        <w:t xml:space="preserve">, wheat </w:t>
      </w:r>
      <w:r>
        <w:rPr>
          <w:b/>
        </w:rPr>
        <w:t>HNVVHAIIL</w:t>
      </w:r>
      <w:r>
        <w:t xml:space="preserve">, soy </w:t>
      </w:r>
      <w:r>
        <w:rPr>
          <w:b/>
        </w:rPr>
        <w:t>FVVNATSNL</w:t>
      </w:r>
      <w:r>
        <w:t xml:space="preserve"> — with IC₅₀ </w:t>
      </w:r>
      <w:r>
        <w:rPr>
          <w:b/>
        </w:rPr>
        <w:t>16.78–50.31 nM</w:t>
      </w:r>
      <w:r>
        <w:t>.</w:t>
      </w:r>
    </w:p>
    <w:p>
      <w:pPr>
        <w:pStyle w:val="ListBullet"/>
      </w:pPr>
      <w:r>
        <w:t>Precursor-vs-mature detail: the best dairy epitope (from the β-casein precursor) binds at 16.78 nM vs 1,535.53 nM for the mature form — a ~92-fold affinity difference that drove frame selection.</w:t>
      </w:r>
    </w:p>
    <w:p>
      <w:pPr>
        <w:pStyle w:val="ListBullet"/>
      </w:pPr>
      <w:r>
        <w:t xml:space="preserve">Structural validation (ESMFold2-Fast): complex ipTM </w:t>
      </w:r>
      <w:r>
        <w:rPr>
          <w:b/>
        </w:rPr>
        <w:t>0.872–0.896</w:t>
      </w:r>
      <w:r>
        <w:t xml:space="preserve">, single-chain pLDDT </w:t>
      </w:r>
      <w:r>
        <w:rPr>
          <w:b/>
        </w:rPr>
        <w:t>0.824</w:t>
      </w:r>
      <w:r>
        <w:t>; all peptides canonical in the MHC-II groove (15/15 residues, 59–64 of 90 core contacts).</w:t>
      </w:r>
    </w:p>
    <w:p>
      <w:pPr>
        <w:pStyle w:val="ListBullet"/>
      </w:pPr>
      <w:r>
        <w:t xml:space="preserve">Development: 18–24 month preclinical roadmap, </w:t>
      </w:r>
      <w:r>
        <w:rPr>
          <w:b/>
        </w:rPr>
        <w:t>$275–457k</w:t>
      </w:r>
      <w:r>
        <w:t xml:space="preserve"> across five phases.</w:t>
      </w:r>
    </w:p>
    <w:p>
      <w:pPr>
        <w:pStyle w:val="Heading1"/>
      </w:pPr>
      <w:r>
        <w:t>Why it matters</w:t>
      </w:r>
    </w:p>
    <w:p>
      <w:r>
        <w:t>It aims at the durable-tolerance gap that no approved EoE therapy fills, packages three complementary delivery formats with a manufacturable nanoparticle scaffold, and pairs the science with a partner-ready regulatory and development plan. It also demonstrates a citizen-science model — a patient-researcher plus AI tools producing a rigorous, transparent drug-design package in a compressed timeframe.</w:t>
      </w:r>
    </w:p>
    <w:p>
      <w:pPr>
        <w:pStyle w:val="Heading1"/>
      </w:pPr>
      <w:r>
        <w:t>Honest verdict and what remains</w:t>
      </w:r>
    </w:p>
    <w:p>
      <w:r>
        <w:t>The framing matches the evidence: epitopes and structures are computational predictions and model estimates, and nothing has been made or functionally tested. The designs cover a single common HLA type (DRB1*07:01); multi-HLA expansion (DQ2, DQ8, DQ5, DR4) is flagged as an early, FDA-relevant requirement to justify population coverage and support an orphan/breakthrough pathway. Long-term iron-oxide safety and Tr1-induction efficacy are named open questions the preclinical roadmap is built to answer.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