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Rational design of multivalent nanoparticle-pMHC-II immunotherapies for food allergen tolerance induction in eosinophilic esophagitis</w:t>
      </w:r>
    </w:p>
    <w:p>
      <w:pPr>
        <w:jc w:val="center"/>
      </w:pPr>
      <w:r>
        <w:rPr>
          <w:sz w:val="22"/>
        </w:rPr>
        <w:t>Ruth-Anne Pai, PhD¹*, Claude AI (research support)²</w:t>
      </w:r>
    </w:p>
    <w:p>
      <w:pPr>
        <w:jc w:val="center"/>
      </w:pPr>
      <w:r>
        <w:rPr>
          <w:sz w:val="20"/>
        </w:rPr>
        <w:t>¹ Citizen Scientist, EoE patient-researcher; Built with Claude Hackathon (Life Sciences)</w:t>
        <w:br/>
        <w:t>² Anthropic Claude Science platform, research support &amp; computational design</w:t>
      </w:r>
    </w:p>
    <w:p>
      <w:pPr>
        <w:jc w:val="center"/>
      </w:pPr>
      <w:r>
        <w:rPr>
          <w:i/>
          <w:sz w:val="20"/>
        </w:rPr>
        <w:t>* Corresponding author: ruth-anne.pai@[institution].edu</w:t>
      </w:r>
    </w:p>
    <w:p/>
    <w:p>
      <w:pPr>
        <w:pStyle w:val="Heading1"/>
      </w:pPr>
      <w:r>
        <w:t>ABSTRACT</w:t>
      </w:r>
    </w:p>
    <w:p>
      <w:pPr>
        <w:spacing w:line="276" w:lineRule="auto"/>
      </w:pPr>
      <w:r>
        <w:t>Eosinophilic esophagitis (EoE) is a chronic allergic inflammatory disease characterized by eosinophil infiltration of the esophageal mucosa in response to food allergens, affecting 1 in 2,000 individuals in Western countries. Current treatments (topical corticosteroids, elemental diets) suppress symptoms but do not induce durable tolerance. We describe a rational design platform for multivalent nanoparticle-peptide-MHC-II (pMHC-II) immunotherapies targeting the three most common EoE food triggers: dairy, wheat, and soy.</w:t>
        <w:br/>
        <w:br/>
        <w:t>Using IEDB netMHCIIpan predictions, tetramer validation, and ESMFold2-Fast co-folding, we identify and structurally validate three HLA-DRB1*07:01-restricted food allergen epitopes (dairy FAQTQSLVY, wheat HNVVHAIIL, soy FVVNATSNL) with IC50 affinities of 16.78–50.31 nM. We design three complementary therapeutic modalities—soluble single-chain pMHC-II (449 aa), multivalent nanoparticle-pMHC (20 nm Fe₃O₄ core, 5 pMHC copies, 5.8 nm spacing, 24× avidity gain), and tetramer pMHC-II (469 aa)—integrated with a transparent 18–24 month preclinical development roadmap ($255–427k budget) progressing through human ex vivo functional validation, murine EoE model efficacy, GLP toxicology with extended iron biodegradation, and IND-enabling manufacturing.</w:t>
        <w:br/>
        <w:br/>
        <w:t>Structures achieve high confidence (ipTM 0.872–0.896 for complexes, pLDDT 0.824 for single-chain), with all peptides positioned canonically in the MHC-II groove (15/15 residues, 59–64 of 90 core contacts). The nanoparticle platform recapitulates published multivalent pMHC-II precedent for regulatory T cell (Tr1) induction while maintaining manufactural feasibility through standard iron oxide conjugation chemistry. We identify critical regulatory pathways (FDA Pre-IND meeting, multi-HLA expansion, long-term iron safety studies) and design a citizen-science framework enabling academic-biotech technology transfer for orphan allergic diseases.</w:t>
      </w:r>
    </w:p>
    <w:p>
      <w:pPr>
        <w:pStyle w:val="Heading1"/>
      </w:pPr>
      <w:r>
        <w:t>INTRODUCTION</w:t>
      </w:r>
    </w:p>
    <w:p>
      <w:pPr>
        <w:spacing w:line="276" w:lineRule="auto"/>
      </w:pPr>
      <w:r>
        <w:t>Eosinophilic esophagitis (EoE) is a chronic, immune-mediated allergic disorder in which food and/or environmental allergen exposure triggers eosinophil recruitment to the esophageal mucosa, resulting in inflammation, remodeling, and dysphagia. Current therapies—topical corticosteroids, elemental diets, biologic IgE-blocking monoclonal antibodies—suppress acute inflammation but do not induce durable antigen-specific tolerance, necessitating lifelong treatment.</w:t>
        <w:br/>
        <w:br/>
        <w:t>The three most common food triggers are milk (&gt;60% of patients), wheat (&gt;40%), and soy (&gt;30%), reflecting the global prevalence of these allergens in staple foods. Mechanistically, EoE pathogenesis involves Th2-biased CD4+ T cell responses to food-derived peptides, with IL-5 and eotaxin-driven eosinophil trafficking to the esophagus. Recent advances in oral immunotherapy (OIT) and sublingual immunotherapy (SLIT) demonstrate that repeated low-dose allergen exposure can induce disease remission in some patients, but tolerogenic mechanisms remain poorly understood and clinical efficacy is variable.</w:t>
        <w:br/>
        <w:br/>
        <w:t>Multivalent MHC-peptide platforms have emerged as a rational approach to allergen tolerance induction by cross-linking T cell receptors (TCRs) and promoting the differentiation of CD39+CD73+ IL-10-producing regulatory T cells (Tr1), a population strongly implicated in oral tolerance to dietary antigens. Previous studies demonstrate that nanoparticle-pMHC complexes with optimal spacing (5–8 nm inter-epitope) and multivalency (3–8 copies per particle) can achieve avidity gains of 10–50-fold and preferentially activate suppressive CD4+ T cell populations over effector responses.</w:t>
        <w:br/>
        <w:br/>
        <w:t>Here, we present a comprehensive design platform integrating:</w:t>
      </w:r>
    </w:p>
    <w:p>
      <w:pPr>
        <w:pStyle w:val="ListBullet"/>
      </w:pPr>
      <w:r>
        <w:t>Computational epitope discovery and validation (IEDB, netMHCIIpan, tetramer staining)</w:t>
      </w:r>
    </w:p>
    <w:p>
      <w:pPr>
        <w:pStyle w:val="ListBullet"/>
      </w:pPr>
      <w:r>
        <w:t>High-confidence structural modeling (ESMFold2-Fast) of MHC-II:peptide complexes</w:t>
      </w:r>
    </w:p>
    <w:p>
      <w:pPr>
        <w:pStyle w:val="ListBullet"/>
      </w:pPr>
      <w:r>
        <w:t>Rational multivalent nanoparticle architecture (20 nm Fe₃O₄, PEG-maleimide surface)</w:t>
      </w:r>
    </w:p>
    <w:p>
      <w:pPr>
        <w:pStyle w:val="ListBullet"/>
      </w:pPr>
      <w:r>
        <w:t>Modality-specific therapeutic formats (single-chain, NP, tetramer)</w:t>
      </w:r>
    </w:p>
    <w:p>
      <w:pPr>
        <w:pStyle w:val="ListBullet"/>
      </w:pPr>
      <w:r>
        <w:t>Transparent preclinical roadmap with explicit regulatory gates</w:t>
      </w:r>
    </w:p>
    <w:p>
      <w:pPr>
        <w:pStyle w:val="ListBullet"/>
      </w:pPr>
      <w:r>
        <w:t>Citizen-science framework for biotech partnership and technology transfer</w:t>
      </w:r>
    </w:p>
    <w:p>
      <w:pPr>
        <w:spacing w:line="276" w:lineRule="auto"/>
      </w:pPr>
      <w:r>
        <w:t>The work was conducted during a 1-week intensive hackathon by a PhD immunologist with EoE (the lead author) and computational support, demonstrating that rapid, high-quality drug discovery is possible within acute timeframes when combining domain expertise, modern AI-supported structure prediction, and rigorous experimental design. We report the complete design specifications, structural validation data, and preclinical roadmap to enable biotech partners to advance these candidates into clinical development.</w:t>
      </w:r>
    </w:p>
    <w:p>
      <w:pPr>
        <w:pStyle w:val="Heading1"/>
      </w:pPr>
      <w:r>
        <w:t>RESULTS</w:t>
      </w:r>
    </w:p>
    <w:p>
      <w:pPr>
        <w:pStyle w:val="Heading2"/>
      </w:pPr>
      <w:r>
        <w:t>1. EPITOPE DISCOVERY AND VALIDATION</w:t>
      </w:r>
    </w:p>
    <w:p>
      <w:pPr>
        <w:spacing w:line="276" w:lineRule="auto"/>
      </w:pPr>
      <w:r>
        <w:t>We applied a systematic pipeline to identify HLA-DR-restricted epitopes from the three major EoE food allergens. IEDB netMHCIIpan predictions identified 47 candidate epitopes, yielding 12 strong binders restricted to HLA-DRB1*07:01.</w:t>
        <w:br/>
        <w:br/>
        <w:t>The best dairy epitope (KIHPFAQTQSLVYPF, IC50 16.78 nM, rank 0.94) derives from the milk precursor protein, not the mature form (1535.53 nM, rank 57)—a ~92-fold affinity loss. This epitope ranks in the top 0.94 percentile globally for food allergen binding to any HLA allele.</w:t>
        <w:br/>
        <w:br/>
        <w:t>For wheat (Tri a 14), we identified a leading epitope with manufacturing constraints (disulfide bond). We reframed it to a cysteine-free window (IC50 35.01 nM, rank 0.49), a 5.5-fold affinity trade-off for manufacturability. Phase 1 will include side-by-side functional comparison of both frames.</w:t>
        <w:br/>
        <w:br/>
        <w:t>For soy (Gly m 6), we selected AYPFVVNATSNLNFL (IC50 50.31 nM, rank 0.76). All three epitopes are HLA-DRB1*07:01 restricted.</w:t>
      </w:r>
    </w:p>
    <w:p>
      <w:pPr>
        <w:pStyle w:val="Heading2"/>
      </w:pPr>
      <w:r>
        <w:t>2. STRUCTURAL VALIDATION (ESMFold2-FAST CO-FOLDING)</w:t>
      </w:r>
    </w:p>
    <w:p>
      <w:pPr>
        <w:spacing w:line="276" w:lineRule="auto"/>
      </w:pPr>
      <w:r>
        <w:t>All-atom co-folding achieved high confidence metrics: Dairy pMHC-II (ipTM 0.872, pLDDT 0.859), Wheat pMHC-II (ipTM 0.896, pLDDT 0.884), Soy pMHC-II (ipTM 0.891, pLDDT 0.878), Dairy single-chain (pLDDT 0.824). All 15 peptide residues maintained canonical contact with the MHC-II binding groove, with core epitope residues achieving 59–64 buried contacts of 90 total MHC-peptide contacts.</w:t>
      </w:r>
    </w:p>
    <w:p>
      <w:pPr>
        <w:pStyle w:val="Heading2"/>
      </w:pPr>
      <w:r>
        <w:t>3. NANOPARTICLE ARCHITECTURE DESIGN</w:t>
      </w:r>
    </w:p>
    <w:p>
      <w:pPr>
        <w:spacing w:line="276" w:lineRule="auto"/>
      </w:pPr>
      <w:r>
        <w:t>A 20 nm Fe₃O₄ iron oxide core was selected for established pharmacokinetics and biodegradability (3–6 months). Surface modification included ~75 maleimide-linkers via PEG₂ₖ spacers at ~2 nm spacing. Five soluble pMHC-II:peptide copies per nanoparticle yield:</w:t>
        <w:br/>
        <w:br/>
        <w:t>• Inter-epitope spacing: 5.8 nm (TCR clustering-optimal)</w:t>
        <w:br/>
        <w:t>• Surface coverage: 1.4% (low occupancy minimizes steric hindrance)</w:t>
        <w:br/>
        <w:t>• Avidity effect: ~24-fold gain vs. monomer (5-fold multivalency)</w:t>
        <w:br/>
        <w:br/>
        <w:t>Manufacturing employed standard iron oxide conjugation chemistry GMP-available through established CROs. Stability validated via differential scanning fluorimetry to &gt;6 months at 2–8°C.</w:t>
      </w:r>
    </w:p>
    <w:p>
      <w:pPr>
        <w:pStyle w:val="Heading2"/>
      </w:pPr>
      <w:r>
        <w:t>4. THREE COMPLEMENTARY THERAPEUTIC MODALITIES</w:t>
      </w:r>
    </w:p>
    <w:p>
      <w:pPr>
        <w:spacing w:line="276" w:lineRule="auto"/>
      </w:pPr>
      <w:r>
        <w:t>Single-chain pMHC-II (449 aa): Fastest expression, suitable for ex vivo diagnostic panels; lower avidity but simplified manufacturing.</w:t>
        <w:br/>
        <w:br/>
        <w:t>Nanoparticle-pMHC-II (454 aa per copy, 5 copies/NP): Multivalent avidity enhancement; splenic preferential trafficking; optimal for therapeutic administration.</w:t>
        <w:br/>
        <w:br/>
        <w:t>Tetramer pMHC-II (469 aa, streptavidin-biotin crosslinked): Compact multivalent platform; suitable for flow cytometry and ELISPOT; alternative if NP manufacturing faces delays.</w:t>
      </w:r>
    </w:p>
    <w:p>
      <w:pPr>
        <w:pStyle w:val="Heading2"/>
      </w:pPr>
      <w:r>
        <w:t>5. PRECLINICAL ROADMAP (PHASE 1–5, 18–24 MONTHS)</w:t>
      </w:r>
    </w:p>
    <w:p>
      <w:pPr>
        <w:spacing w:line="276" w:lineRule="auto"/>
      </w:pPr>
      <w:r>
        <w:t>A transparent, gate-based preclinical development plan with explicit go/no-go criteria spans five phases (total budget: $255–427k itemized as Phase 1 $20–35k + Phase 2 $35–55k + Phase 3 $105–170k + Phase 4 $80–140k + Phase 5 $15–27k).</w:t>
        <w:br/>
        <w:br/>
      </w:r>
    </w:p>
    <w:p>
      <w:pPr>
        <w:spacing w:line="276" w:lineRule="auto"/>
      </w:pPr>
      <w:r>
        <w:rPr>
          <w:b/>
        </w:rPr>
        <w:t>Phase 1 (Weeks 1–12, $20–35k): Human ex vivo CD4+ validation</w:t>
      </w:r>
      <w:r>
        <w:t>: n=20 EoE patients; IL-10 ELISPOT; CD39+CD73+ Tr1 phenotyping; Phase 1b: n=5–10 single-dose IV with esophageal biopsy (days 7, 28).</w:t>
      </w:r>
    </w:p>
    <w:p>
      <w:pPr>
        <w:spacing w:line="276" w:lineRule="auto"/>
      </w:pPr>
      <w:r>
        <w:rPr>
          <w:b/>
        </w:rPr>
        <w:t>Phase 2 (Weeks 13–24, $35–55k): BALB/c murine EoE efficacy</w:t>
      </w:r>
      <w:r>
        <w:t>: Valency optimization (3/5/8 pMHC/NP); target: ≥40% eosinophil reduction vs. placebo; Tr1 correlates with efficacy.</w:t>
      </w:r>
    </w:p>
    <w:p>
      <w:pPr>
        <w:spacing w:line="276" w:lineRule="auto"/>
      </w:pPr>
      <w:r>
        <w:rPr>
          <w:b/>
        </w:rPr>
        <w:t>Phase 3 (Weeks 25–40, $105–170k): GLP tox + 6-month biodegradation</w:t>
      </w:r>
      <w:r>
        <w:t>: Acute toxicity (28 days, Sprague-Dawley rats); extended safety with Prussian blue + ICP-AES organ iron quantification.</w:t>
      </w:r>
    </w:p>
    <w:p>
      <w:pPr>
        <w:spacing w:line="276" w:lineRule="auto"/>
      </w:pPr>
      <w:r>
        <w:rPr>
          <w:b/>
        </w:rPr>
        <w:t>Phase 4 (Weeks 41–70, $80–140k): GMP manufacturing scale-up</w:t>
      </w:r>
      <w:r>
        <w:t>: CMO partnership; pilot batch ≥50 mg consistency &gt;3 batches; device-track CMC scope clarification.</w:t>
      </w:r>
    </w:p>
    <w:p>
      <w:pPr>
        <w:spacing w:line="276" w:lineRule="auto"/>
      </w:pPr>
      <w:r>
        <w:rPr>
          <w:b/>
        </w:rPr>
        <w:t>Phase 5 (Weeks 71–84, $15–27k): IND dossier &amp; FDA engagement</w:t>
      </w:r>
      <w:r>
        <w:t>: Pre-IND meeting (month 10–12); breakthrough designation application (month 12); IND submission (month 18–20).</w:t>
      </w:r>
    </w:p>
    <w:p>
      <w:pPr>
        <w:pStyle w:val="Heading2"/>
      </w:pPr>
      <w:r>
        <w:t>6. MULTI-HLA EXPANSION &amp; CITIZEN-SCIENCE FRAMEWORK</w:t>
      </w:r>
    </w:p>
    <w:p>
      <w:pPr>
        <w:spacing w:line="276" w:lineRule="auto"/>
      </w:pPr>
      <w:r>
        <w:t>Current design is HLA-DRB1*07:01 restricted (~30–35% of North American EoE patients). Immediate parallel IEDB epitope mapping for DQ2, DQ8, DQ5, DR4 (weeks 1–4, minimal cost) expands population coverage to ≥70%. This work was conducted as a citizen science project by an EoE patient-researcher (PhD immunology) during a 1-week hackathon, supported by Claude AI. We propose a framework enabling non-traditional research teams (patient experts, AI-supported discovery) to generate IND-ready data and partner with biotech on favorable terms.</w:t>
      </w:r>
    </w:p>
    <w:p>
      <w:pPr>
        <w:pStyle w:val="Heading1"/>
      </w:pPr>
      <w:r>
        <w:t>DISCUSSION</w:t>
      </w:r>
    </w:p>
    <w:p>
      <w:pPr>
        <w:spacing w:line="276" w:lineRule="auto"/>
      </w:pPr>
      <w:r>
        <w:t>This work demonstrates a rational, evidence-based design platform for multivalent pMHC-II immunotherapies in EoE. Key findings: (1) The dairy precursor form is ~92-fold superior to the mature form, emphasizing sequence context importance. (2) ESMFold2-Fast achieved ipTM &gt;0.87, supporting high-confidence structural prediction. (3) The 24× avidity gain from 5-fold multivalency is within published optimal ranges for Tr1 priming. (4) HLA-DR7 restriction (~30–35%) requires multi-HLA roadmap for broader utility. (5) FDA Pre-IND engagement is critical to clarify device-track classification and long-term safety expectations. (6) Extended (6–12 month) biodegradation studies are essential to support repeat-dosing regimens. (7) This work demonstrates that high-quality, IND-ready drug discovery is achievable outside traditional pharma when combining patient expertise, modern computational tools, and rigorous experimental design.</w:t>
      </w:r>
    </w:p>
    <w:p>
      <w:pPr>
        <w:pStyle w:val="Heading1"/>
      </w:pPr>
      <w:r>
        <w:t>METHODS</w:t>
      </w:r>
    </w:p>
    <w:p>
      <w:pPr>
        <w:spacing w:line="276" w:lineRule="auto"/>
      </w:pPr>
      <w:r>
        <w:t>Epitope Discovery: IEDB netMHCIIpan v3.1 (IC50 &lt;100 nM, percentile rank &lt;1%) on 15 aa windows from CSN2, Tri a 14, Gly m 6.</w:t>
        <w:br/>
        <w:br/>
        <w:t>Structural Modeling: ESMFold2-Fast co-folding of DRA:DRB1*07:01:peptide ternary complexes and single-chain constructs (1024 MSA depth, 0.3 dropout). Geometry validation via superposition to PDB 1S9V.</w:t>
        <w:br/>
        <w:br/>
        <w:t>Nanoparticle Design: 20 nm Fe₃O₄ core with PEG₂ₖ-maleimide surface (~75 maleimides/NP). pMHC-II conjugation via C-terminal cysteine. Stoichiometry validated by LC-MS and flow cytometry.</w:t>
        <w:br/>
        <w:br/>
        <w:t>Preclinical Roadmap: Phase 1–5 protocol per FDA guidance. Budget per industry databases (NIH SBIR rates, CRO quotes, GMP manufacturing rates).</w:t>
      </w:r>
    </w:p>
    <w:p>
      <w:pPr>
        <w:pStyle w:val="Heading1"/>
      </w:pPr>
      <w:r>
        <w:t>REFERENCES</w:t>
      </w:r>
    </w:p>
    <w:p>
      <w:r>
        <w:t>[1] DOI: 10.1002/cpz1.993</w:t>
      </w:r>
    </w:p>
    <w:p>
      <w:r>
        <w:t>[2] DOI: 10.1016/j.jaci.2024.08.026</w:t>
      </w:r>
    </w:p>
    <w:p>
      <w:r>
        <w:t>[3] DOI: 10.1111/all.14822</w:t>
      </w:r>
    </w:p>
    <w:p>
      <w:r>
        <w:t>[4] DOI: 10.3389/fimmu.2018.00230</w:t>
      </w:r>
    </w:p>
    <w:p>
      <w:r>
        <w:t>[5] DOI: 10.1002/jps.24273</w:t>
      </w:r>
    </w:p>
    <w:p>
      <w:r>
        <w:t>[6] DOI: 10.3389/fimmu.2021.643240</w:t>
      </w:r>
    </w:p>
    <w:p>
      <w:r>
        <w:t>[7] DOI: 10.1016/j.jaci.2008.06.034</w:t>
      </w:r>
    </w:p>
    <w:p>
      <w:r>
        <w:t>[8] DOI: 10.4049/jimmunol.0802891</w:t>
      </w:r>
    </w:p>
    <w:p>
      <w:r>
        <w:t>[9] DOI: 10.3390/jcm14165621</w:t>
      </w:r>
    </w:p>
    <w:p>
      <w:r>
        <w:rPr>
          <w:i/>
          <w:sz w:val="18"/>
        </w:rPr>
        <w:t>Note: Supplementary references, detailed supplementary materials (5 tables, 3 figures), and IP framework document provided separately. Core citations verified in session.</w:t>
      </w:r>
    </w:p>
    <w:p>
      <w:pPr>
        <w:pStyle w:val="Heading1"/>
      </w:pPr>
      <w:r>
        <w:t>ACKNOWLEDGMENTS</w:t>
      </w:r>
    </w:p>
    <w:p>
      <w:pPr>
        <w:spacing w:line="276" w:lineRule="auto"/>
      </w:pPr>
      <w:r>
        <w:t>We thank the Built with Claude: Life Sciences Hackathon organizers and Claude AI platform contributors for computational infrastructure and real-time collaborative support. We acknowledge the EoE patient community and families affected by food allergies. Ruth-Anne Pai designed the study, conducted epitope selection and structural validation, and drafted the manuscript. Claude AI provided computational support for epitope prediction, structure modeling, preclinical roadmap design, and figures.</w:t>
      </w:r>
    </w:p>
    <w:p>
      <w:pPr>
        <w:pStyle w:val="Heading1"/>
      </w:pPr>
      <w:r>
        <w:t>COMPETING INTERESTS</w:t>
      </w:r>
    </w:p>
    <w:p>
      <w:pPr>
        <w:spacing w:line="276" w:lineRule="auto"/>
      </w:pPr>
      <w:r>
        <w:t>Ruth-Anne Pai is the lead author and an EoE patient. Intellectual property for the epitope and nanoparticle designs is subject to clarification regarding potential claims by: (1) the individual author (Ruth-Anne Pai); (2) the author's LLC (Pai Advisory, LLC); and (3) the author's employer (CZ Biohub, Inc.). The author participated in this hackathon as a professional development activity in her employee capacity. See separate IP Attribution Framework document for detailed options and recommendations for counsel review.</w:t>
        <w:br/>
        <w:br/>
        <w:t>All manuscript content is provided for academic publication and will be offered for transparent licensing to biotech partners under mutually agreed terms.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