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REVIEWER COMMENTS AND AUTHOR RESPONSES</w:t>
      </w:r>
    </w:p>
    <w:p>
      <w:pPr>
        <w:jc w:val="center"/>
      </w:pPr>
      <w:r>
        <w:rPr>
          <w:i/>
        </w:rPr>
        <w:t>Synthetic Peer Review of Rational Design of Multivalent Nanoparticle-pMHC-II Immunotherapies for Eosinophilic Esophagitis</w:t>
      </w:r>
    </w:p>
    <w:p>
      <w:pPr>
        <w:jc w:val="center"/>
      </w:pPr>
      <w:r>
        <w:t>Ruth-Anne Pai, PhD | July 9, 2026</w:t>
      </w:r>
    </w:p>
    <w:p/>
    <w:p>
      <w:pPr>
        <w:pStyle w:val="Heading1"/>
      </w:pPr>
      <w:r>
        <w:t>EXECUTIVE SUMMARY</w:t>
      </w:r>
    </w:p>
    <w:p>
      <w:r>
        <w:t>This document provides point-by-point responses to feedback from three independent expert reviewers (Structural Biology &amp; Immunology, Biotech/Translational Development, Regulatory &amp; Clinical Affairs) who evaluated the preclinical design package for multivalent nanoparticle-pMHC-II immunotherapies for eosinophilic esophagitis.</w:t>
        <w:br/>
        <w:br/>
        <w:t>Overall Recommendation: PROCEED TO PHASE 1 WITH SPECIFIED CAVEATS</w:t>
        <w:br/>
        <w:br/>
        <w:t>All three reviewers identified this as a credible, well-designed therapeutic candidate with no deal-breaker concerns. The critical issues identified are all mitigable through phased preclinical validation and early FDA engagement.</w:t>
        <w:br/>
        <w:br/>
        <w:t>Major revisions incorporated:</w:t>
        <w:br/>
        <w:t>1. Extended Phase 1 to include both ex vivo functional validation AND exploratory in vivo proof-of-mechanism</w:t>
        <w:br/>
        <w:t>2. Explicit Phase 1 weeks 1–4 commitment to multi-HLA epitope mapping (DR4, DQ2, DQ8, DQ5)</w:t>
        <w:br/>
        <w:t>3. Phase 3 expanded with extended repeat-dosing safety studies and quantitative iron biodegradation tracking</w:t>
        <w:br/>
        <w:t>4. Manufacturing process optimization and CMO scouting (months 1–3)</w:t>
        <w:br/>
        <w:t>5. Regulatory affairs lead assignment and Pre-IND meeting package preparation</w:t>
        <w:br/>
        <w:t>6. Clinical endpoint definition and companion diagnostic strategy for patient stratification</w:t>
      </w:r>
    </w:p>
    <w:p>
      <w:r>
        <w:br w:type="page"/>
      </w:r>
    </w:p>
    <w:p>
      <w:pPr>
        <w:pStyle w:val="Heading1"/>
      </w:pPr>
      <w:r>
        <w:t>REVIEWER 1: STRUCTURAL BIOLOGY &amp; IMMUNOLOGY</w:t>
      </w:r>
    </w:p>
    <w:p>
      <w:r>
        <w:rPr>
          <w:i/>
        </w:rPr>
        <w:t>Expertise: HLA-peptide structural biology, IEDB epitope prediction, Tr1 differentiation, food allergy immunology</w:t>
      </w:r>
    </w:p>
    <w:p>
      <w:pPr>
        <w:pStyle w:val="Heading2"/>
      </w:pPr>
      <w:r>
        <w:t>MAJOR STRENGTHS (No changes required)</w:t>
      </w:r>
    </w:p>
    <w:p>
      <w:pPr>
        <w:pStyle w:val="ListBullet"/>
      </w:pPr>
      <w:r>
        <w:rPr>
          <w:b w:val="0"/>
        </w:rPr>
        <w:t>Dairy epitope is exceptionally well-supported and publication-ready</w:t>
      </w:r>
    </w:p>
    <w:p>
      <w:pPr>
        <w:pStyle w:val="ListBullet"/>
      </w:pPr>
      <w:r>
        <w:rPr>
          <w:b w:val="0"/>
        </w:rPr>
        <w:t>Structural models are publication-quality and mechanistically informative</w:t>
      </w:r>
    </w:p>
    <w:p>
      <w:pPr>
        <w:pStyle w:val="ListBullet"/>
      </w:pPr>
      <w:r>
        <w:rPr>
          <w:b w:val="0"/>
        </w:rPr>
        <w:t>Three-format construct design is sound and pedagogically justified</w:t>
      </w:r>
    </w:p>
    <w:p>
      <w:pPr>
        <w:pStyle w:val="ListBullet"/>
      </w:pPr>
      <w:r>
        <w:rPr>
          <w:b w:val="0"/>
        </w:rPr>
        <w:t>Epitope selection logic is transparent, reproducible, and well-justified</w:t>
      </w:r>
    </w:p>
    <w:p>
      <w:pPr>
        <w:pStyle w:val="ListBullet"/>
      </w:pPr>
      <w:r>
        <w:rPr>
          <w:b w:val="0"/>
        </w:rPr>
        <w:t>Tr1 induction mechanism is mechanistically grounded in published literature</w:t>
      </w:r>
    </w:p>
    <w:p>
      <w:r>
        <w:t>These strengths require no revision; they remain unchanged in final manuscript and strongly support proceeding to Phase 1.</w:t>
      </w:r>
    </w:p>
    <w:p/>
    <w:p>
      <w:pPr>
        <w:pStyle w:val="Heading2"/>
      </w:pPr>
      <w:r>
        <w:t>MAJOR CONCERNS &amp; REVISIONS</w:t>
      </w:r>
    </w:p>
    <w:p>
      <w:pPr>
        <w:pStyle w:val="Heading3"/>
      </w:pPr>
      <w:r>
        <w:t>Wheat and Soy Epitopes Lack Functional Validation (SEVERITY: HIGH)</w:t>
      </w:r>
    </w:p>
    <w:p>
      <w:pPr>
        <w:pStyle w:val="Heading4"/>
      </w:pPr>
      <w:r>
        <w:t>Reviewer Feedback:</w:t>
      </w:r>
    </w:p>
    <w:p>
      <w:r>
        <w:t>Both are IEDB predictions only; no patient CD4+ T cell activation, no tetramer evidence, no structural precedent. Clinical 'Silver standard' per deliverables index, but Phase 1 MUST include functional assay. Recommend: IFNγ + IL-10 ELISPOT, TCR-Vβ sequencing for wheat/soy responders, HLA-peptide tetramer staining.</w:t>
      </w:r>
    </w:p>
    <w:p>
      <w:pPr>
        <w:pStyle w:val="Heading4"/>
      </w:pPr>
      <w:r>
        <w:t>Author Response:</w:t>
      </w:r>
    </w:p>
    <w:p>
      <w:r>
        <w:t>ACCEPTED. Revised Phase 1 protocol to include functional validation for all three epitopes. Wheat and soy are now positioned as 'designed and structurally modeled; Phase 1 clinical validation required before efficacy claims.' Phase 1 functional assay includes: (1) IFNγ + IL-10 ELISPOT on patient PBMC (n=20 EoE patients), (2) TCR-Vβ sequencing for wheat/soy responders to identify clonal expansion, (3) HLA-peptide tetramer staining (if funding permits). Phase 1 go-gates revised: dairy ≥50% IL-10+ Tr1 responders (publication-ready pathway), wheat/soy ≥30% responders (Phase 2-eligible). Manuscript text updated to emphasize 'Phase 1 validation required' language.</w:t>
      </w:r>
    </w:p>
    <w:p>
      <w:pPr>
        <w:pStyle w:val="Heading3"/>
      </w:pPr>
      <w:r>
        <w:t>HLA Allele Restriction Severely Limits Population Reach (SEVERITY: HIGH)</w:t>
      </w:r>
    </w:p>
    <w:p>
      <w:pPr>
        <w:pStyle w:val="Heading4"/>
      </w:pPr>
      <w:r>
        <w:t>Reviewer Feedback:</w:t>
      </w:r>
    </w:p>
    <w:p>
      <w:r>
        <w:t>DR7 (DRB1*07:01) present in ~30–35% of EoE patients; ~65–70% carry DQ2, DQ8, DQ5, DR4, or other alleles. Single-HLA product reaches only 70k of 200k EoE patients. IMMEDIATE ACTION: Begin IEDB query for DR4 and DQ2-restricted epitope variants. Parallel design for top 2–3 HLA alleles can reach 70–80% population coverage with minimal additional cost (2–4 weeks).</w:t>
      </w:r>
    </w:p>
    <w:p>
      <w:pPr>
        <w:pStyle w:val="Heading4"/>
      </w:pPr>
      <w:r>
        <w:t>Author Response:</w:t>
      </w:r>
    </w:p>
    <w:p>
      <w:r>
        <w:t>ACCEPTED. Added explicit Phase 1 weeks 1–4 commitment to multi-HLA epitope mapping via IEDB netMHCIIpan. Scope: Design epitope variants for HLA-DR4 (DRB1*04:01), HLA-DQ2 (DQA1*05:01/DQB1*02:01), HLA-DQ8 (DQA1*03/DQB1*03:02), HLA-DQ5 (DQA1*01:01/DQB1*05:01) restricted variants for each antigen (dairy, wheat, soy). Projected outcome: reach 80%+ EoE patient population. Budget impact: +$5–10k (minimal); timeline +2–4 weeks (parallel path, not critical path). Revised roadmap and budget reflect multi-HLA expansion. Manuscript updated to state: 'Phase 2 IND will include multi-HLA variants designed and structurally validated in Phase 1 weeks 1–4.'</w:t>
      </w:r>
    </w:p>
    <w:p>
      <w:pPr>
        <w:pStyle w:val="Heading3"/>
      </w:pPr>
      <w:r>
        <w:t>Tr1 Mechanism Untested in EoE Microenvironment (SEVERITY: MODERATE-HIGH)</w:t>
      </w:r>
    </w:p>
    <w:p>
      <w:pPr>
        <w:pStyle w:val="Heading4"/>
      </w:pPr>
      <w:r>
        <w:t>Reviewer Feedback:</w:t>
      </w:r>
    </w:p>
    <w:p>
      <w:r>
        <w:t>Published precedent is in asthma/colitis, NOT EoE. EoE is IL-5/eotaxin-driven; sufficient for IL-10-producing Tr1 to suppress? Phase 2 BALB/c EoE model is the critical gate. Must include: eosinophil count, esophageal histology, MLN Tr1 expansion, Tr1↔eosinophil correlation.</w:t>
      </w:r>
    </w:p>
    <w:p>
      <w:pPr>
        <w:pStyle w:val="Heading4"/>
      </w:pPr>
      <w:r>
        <w:t>Author Response:</w:t>
      </w:r>
    </w:p>
    <w:p>
      <w:r>
        <w:t>ACCEPTED. Revised Phase 2 mouse study design to explicitly test Tr1 mechanism in EoE microenvironment. Phase 2 endpoints expanded: (1) PRIMARY: esophageal eosinophil infiltration (histology, immunostaining for major basic protein [MBP]), (2) SECONDARY: mesenteric lymph node (MLN) Tr1 expansion (CD39+CD73+ IL-10+ frequency via flow cytometry), (3) MECHANISTIC: correlation analysis between MLN Tr1 frequency and esophageal eosinophil reduction (Spearman). Phase 2 go-gate remains ≥50% eosinophil reduction target; Tr1 correlation is validation, not a go/no-go factor if unexpected. Manuscript updated: 'Phase 2 efficacy study will validate Tr1 induction in EoE model and test whether IL-10-producing Tr1 suppresses IL-5/eotaxin-driven eosinophil responses.'</w:t>
      </w:r>
    </w:p>
    <w:p/>
    <w:p>
      <w:pPr>
        <w:pStyle w:val="Heading2"/>
      </w:pPr>
      <w:r>
        <w:t>MODERATE ISSUES &amp; RECOMMENDATIONS</w:t>
      </w:r>
    </w:p>
    <w:p>
      <w:pPr>
        <w:pStyle w:val="Heading3"/>
      </w:pPr>
      <w:r>
        <w:t>Wheat Epitope Reframing Sacrifices Affinity for Cysteine Safety</w:t>
      </w:r>
    </w:p>
    <w:p>
      <w:pPr>
        <w:pStyle w:val="Heading4"/>
      </w:pPr>
      <w:r>
        <w:t>Reviewer Recommendation:</w:t>
      </w:r>
    </w:p>
    <w:p>
      <w:r>
        <w:t>Original disulfide-bearing frame (6.36 nM) is 5.5-fold more potent than reframed version (35.01 nM). Trade-off is defensible but reduces potency. Recommend Phase 1 sensitivity analysis: compare reframed vs. Cys→Ser substituted variants side-by-side. May require higher valency (8/NP) to compensate.</w:t>
      </w:r>
    </w:p>
    <w:p>
      <w:pPr>
        <w:pStyle w:val="Heading4"/>
      </w:pPr>
      <w:r>
        <w:t>Author Response:</w:t>
      </w:r>
    </w:p>
    <w:p>
      <w:r>
        <w:t>ACCEPTED. Phase 1 protocol expanded to include sensitivity analysis comparing three wheat epitope variants: (1) Reframed cysteine-free (HNVVHAIIL, 35.01 nM), (2) Cys→Ser substitution maintaining disulfide frame context (controls disulfide but removes reactive cysteine), (3) Original disulfide frame (SRCQAIHNVVHAIIL, 6.36 nM) if manufacturing risk permits. Readout: ELISPOT response magnitude, tetramer staining, Phase 1b in vivo response kinetics. Phase 2 valency arm includes 3/5/8 pMHC/NP comparison to assess whether higher valency (8/NP) compensates for lower affinity. Manuscript text updated: 'Wheat epitope selection involved trade-off between affinity and manufacturing liability; Phase 1 sensitivity analysis will determine optimal variant for Phase 2.'</w:t>
      </w:r>
    </w:p>
    <w:p>
      <w:r>
        <w:br w:type="page"/>
      </w:r>
    </w:p>
    <w:p>
      <w:pPr>
        <w:pStyle w:val="Heading1"/>
      </w:pPr>
      <w:r>
        <w:t>REVIEWER 2: BIOTECH/TRANSLATIONAL DEVELOPMENT</w:t>
      </w:r>
    </w:p>
    <w:p>
      <w:r>
        <w:rPr>
          <w:i/>
        </w:rPr>
        <w:t>Expertise: Therapeutic platform development, manufacturing scale-up, IP strategy, competitive landscape, risk-based project planning</w:t>
      </w:r>
    </w:p>
    <w:p>
      <w:pPr>
        <w:pStyle w:val="Heading2"/>
      </w:pPr>
      <w:r>
        <w:t>MAJOR STRENGTHS (No changes required)</w:t>
      </w:r>
    </w:p>
    <w:p>
      <w:pPr>
        <w:pStyle w:val="ListBullet"/>
      </w:pPr>
      <w:r>
        <w:t>NP platform design is realistic, industry-standard, and de-risks development</w:t>
      </w:r>
    </w:p>
    <w:p>
      <w:pPr>
        <w:pStyle w:val="ListBullet"/>
      </w:pPr>
      <w:r>
        <w:t>Construct design is expression-ready with minimal optimization overhead</w:t>
      </w:r>
    </w:p>
    <w:p>
      <w:pPr>
        <w:pStyle w:val="ListBullet"/>
      </w:pPr>
      <w:r>
        <w:t>Preclinical roadmap is well-scoped, realistic, and budget-aligned with industry</w:t>
      </w:r>
    </w:p>
    <w:p>
      <w:pPr>
        <w:pStyle w:val="ListBullet"/>
      </w:pPr>
      <w:r>
        <w:t>Three-format strategy enables multiple licensing pathways and de-risks partnering</w:t>
      </w:r>
    </w:p>
    <w:p>
      <w:pPr>
        <w:pStyle w:val="ListBullet"/>
      </w:pPr>
      <w:r>
        <w:t>IP landscape is clean and licensing-friendly</w:t>
      </w:r>
    </w:p>
    <w:p>
      <w:r>
        <w:t>These strengths remain unchanged. Manuscript reinforces NP platform precedent and multi-format strategy as commercial strengths.</w:t>
      </w:r>
    </w:p>
    <w:p/>
    <w:p>
      <w:pPr>
        <w:pStyle w:val="Heading2"/>
      </w:pPr>
      <w:r>
        <w:t>MAJOR CONCERNS &amp; REVISIONS</w:t>
      </w:r>
    </w:p>
    <w:p>
      <w:pPr>
        <w:pStyle w:val="Heading3"/>
      </w:pPr>
      <w:r>
        <w:t>No Competitive Landscape or Market Size Analysis Provided (SEVERITY: HIGH)</w:t>
      </w:r>
    </w:p>
    <w:p>
      <w:pPr>
        <w:pStyle w:val="Heading4"/>
      </w:pPr>
      <w:r>
        <w:t>Reviewer Feedback:</w:t>
      </w:r>
    </w:p>
    <w:p>
      <w:r>
        <w:t>EoE prevalence: ~1 in 2,000 in Western countries (~200k US patients). Where does this position relative to OIT (oral immunotherapy)? What's addressable market if only DR7 developed (30–35% of patients)? Recommend: Clear unmet-need articulation + market size analysis (reachable patient population, peak sales forecast).</w:t>
      </w:r>
    </w:p>
    <w:p>
      <w:pPr>
        <w:pStyle w:val="Heading4"/>
      </w:pPr>
      <w:r>
        <w:t>Author Response:</w:t>
      </w:r>
    </w:p>
    <w:p>
      <w:r>
        <w:t>ACCEPTED. Revised manuscript to include competitive landscape and market analysis section. Added: (1) EoE epidemiology and unmet need (current standard-of-care is dietary elimination + steroids, no approved tolerance-inducing therapy), (2) Competitive positioning vs. oral immunotherapy (OIT: Palforzia approved 2019, but 40% relapse on discontinuation; our approach targets 12-month durable tolerance via Tr1 induction), (3) Addressable market analysis: single-HLA (DR7) = 70k US patients; multi-HLA portfolio (Phase 2) = 160k US patients (80% EoE population); global market 400–500k patients. (4) Peak sales forecast placeholder (pending Phase 2 efficacy; estimated $200M–$500M if single indication, $1–2B if multi-HLA + auto-immune indications). Manuscript positioning: 'Rare disease with high commercial potential and clear regulatory acceleration pathway (breakthrough designation eligible).'</w:t>
      </w:r>
    </w:p>
    <w:p>
      <w:pPr>
        <w:pStyle w:val="Heading3"/>
      </w:pPr>
      <w:r>
        <w:t>Manufacturing Assumptions Lack Process Development Detail and Risk Mitigation (SEVERITY: HIGH)</w:t>
      </w:r>
    </w:p>
    <w:p>
      <w:pPr>
        <w:pStyle w:val="Heading4"/>
      </w:pPr>
      <w:r>
        <w:t>Reviewer Feedback:</w:t>
      </w:r>
    </w:p>
    <w:p>
      <w:r>
        <w:t>Roadmap specifies GMP phases but doesn't define critical process parameters (CPPs). Maleimide-cysteine conjugation is sensitive to pH, temperature, reagent ratios. No backup conjugation chemistry identified. Recommend: Months 1–3, CMO scouting + bench-scale conjugation optimization. Identify backup chemistry (SpyTag/SpyCatcher). Phase 1 gate: ≥50% yield, ≥70% conjugation efficiency.</w:t>
      </w:r>
    </w:p>
    <w:p>
      <w:pPr>
        <w:pStyle w:val="Heading4"/>
      </w:pPr>
      <w:r>
        <w:t>Author Response:</w:t>
      </w:r>
    </w:p>
    <w:p>
      <w:r>
        <w:t>ACCEPTED. Revised Phase 1 months 1–3 to include detailed manufacturing process development plan: (1) Expression system comparison (mammalian CHO vs. E. coli) at milligram scale: yield, purity, kinetics, NP conjugation compatibility, (2) Maleimide-cysteine parameter screening: pH range (6.5–8.0), temperature (4–25°C), reaction time, buffer composition, molar ratios, (3) Thermal stability testing (differential scanning fluorimetry, circular dichroism, freeze-thaw cycling), (4) Backup conjugation chemistry identification: SpyTag/SpyCatcher (peptide/protein interaction, higher yield), disulfide-bonded variants (non-labile linker). Phase 1 success gates: ≥50% expression yield, ≥70% conjugation efficiency, ≥12-month stability at 2–8°C. CMO scouting identifies 2–3 qualified NP-capable CMOs (many avoid NP; capacity limited; early engagement critical). Roadmap Phase 1 budget increased to $40–65k to accommodate this effort. Manuscript section expanded with manufacturing development timeline.</w:t>
      </w:r>
    </w:p>
    <w:p>
      <w:pPr>
        <w:pStyle w:val="Heading3"/>
      </w:pPr>
      <w:r>
        <w:t>Valency Optimization Is Under-Explored; Rationale for 5/NP Unclear (SEVERITY: MODERATE-HIGH)</w:t>
      </w:r>
    </w:p>
    <w:p>
      <w:pPr>
        <w:pStyle w:val="Heading4"/>
      </w:pPr>
      <w:r>
        <w:t>Reviewer Feedback:</w:t>
      </w:r>
    </w:p>
    <w:p>
      <w:r>
        <w:t>Roadmap proposes 3/5/8 pMHC/NP scenarios but provides no justification for selecting 5 as standard. Published NP-TCR studies show avidity effects plateau at 4–6 copies. Is 5/NP empirically optimal or just convenient? Recommend: Phase 2 mouse includes 3-arm dose–response with 3/5/8 pMHC/NP. May enable dose reduction if 3/NP sufficient.</w:t>
      </w:r>
    </w:p>
    <w:p>
      <w:pPr>
        <w:pStyle w:val="Heading4"/>
      </w:pPr>
      <w:r>
        <w:t>Author Response:</w:t>
      </w:r>
    </w:p>
    <w:p>
      <w:r>
        <w:t>ACCEPTED. Revised Phase 2 mouse study to include 3-arm valency optimization. Design: three cohorts dosed with same total pMHC dose (e.g., 100 µg pMHC equivalent) across 3 pMHC/NP, 5 pMHC/NP, 8 pMHC/NP particles (resulting in different particle counts but constant bioactive dose). Readout: esophageal eosinophil reduction kinetics, Tr1 expansion magnitude, serum biomarker response, anti-NP antibody response. Analysis: assess whether lower valency (3/NP) sufficient for efficacy; if so, reduces particle burden and manufacturing costs. Contingency: if wheat/soy affinity low (per Reviewer 1 concern), higher valency (8/NP) may be required to compensate. Phase 2 go-gate remains ≥50% eosinophil reduction; valency optimization is secondary outcome informing manufacturing strategy. Manuscript updated with Phase 2 study design details.</w:t>
      </w:r>
    </w:p>
    <w:p>
      <w:r>
        <w:br w:type="page"/>
      </w:r>
    </w:p>
    <w:p>
      <w:pPr>
        <w:pStyle w:val="Heading1"/>
      </w:pPr>
      <w:r>
        <w:t>REVIEWER 3: REGULATORY &amp; CLINICAL AFFAIRS</w:t>
      </w:r>
    </w:p>
    <w:p>
      <w:r>
        <w:rPr>
          <w:i/>
        </w:rPr>
        <w:t>Expertise: FDA combination products, GLP toxicology, IND strategy, clinical precedent, post-approval surveillance</w:t>
      </w:r>
    </w:p>
    <w:p>
      <w:pPr>
        <w:pStyle w:val="Heading2"/>
      </w:pPr>
      <w:r>
        <w:t>MAJOR STRENGTHS (No changes required)</w:t>
      </w:r>
    </w:p>
    <w:p>
      <w:pPr>
        <w:pStyle w:val="ListBullet"/>
      </w:pPr>
      <w:r>
        <w:t>IND pathway is clear and well-established with historical precedent</w:t>
      </w:r>
    </w:p>
    <w:p>
      <w:pPr>
        <w:pStyle w:val="ListBullet"/>
      </w:pPr>
      <w:r>
        <w:t>Phase 1 human study design is defensible and FDA-precedented</w:t>
      </w:r>
    </w:p>
    <w:p>
      <w:pPr>
        <w:pStyle w:val="ListBullet"/>
      </w:pPr>
      <w:r>
        <w:t>GLP toxicology roadmap is realistic and standard for NP biologics</w:t>
      </w:r>
    </w:p>
    <w:p>
      <w:pPr>
        <w:pStyle w:val="ListBullet"/>
      </w:pPr>
      <w:r>
        <w:t>Regulatory strategy acknowledges breakthrough designation pathway</w:t>
      </w:r>
    </w:p>
    <w:p>
      <w:pPr>
        <w:pStyle w:val="ListBullet"/>
      </w:pPr>
      <w:r>
        <w:t>IND organization and decision gates are exemplary</w:t>
      </w:r>
    </w:p>
    <w:p>
      <w:r>
        <w:t>These strengths remain unchanged and form the foundation of the revised regulatory strategy.</w:t>
      </w:r>
    </w:p>
    <w:p/>
    <w:p>
      <w:pPr>
        <w:pStyle w:val="Heading2"/>
      </w:pPr>
      <w:r>
        <w:t>MAJOR CONCERNS &amp; REVISIONS</w:t>
      </w:r>
    </w:p>
    <w:p>
      <w:pPr>
        <w:pStyle w:val="Heading3"/>
      </w:pPr>
      <w:r>
        <w:t>Long-Term Safety Durability Beyond 28 Days Not Adequately Addressed (SEVERITY: HIGH)</w:t>
      </w:r>
    </w:p>
    <w:p>
      <w:pPr>
        <w:pStyle w:val="Heading4"/>
      </w:pPr>
      <w:r>
        <w:t>Reviewer Feedback:</w:t>
      </w:r>
    </w:p>
    <w:p>
      <w:r>
        <w:t>Preclinical roadmap stops at 28-day rodent GLP tox. FDA guidance on nanoparticle persistence requires ≥6 months safety data. Iron oxide NPs degrade slowly. Recommend: repeat dosing studies (3-month mouse, monthly×4 dosing, safety to 6mo post-dose), quantify spleen/liver/kidney iron (Prussian blue, ICP-AES), pre-IND meeting to agree on 'adequate long-term database' definition.</w:t>
      </w:r>
    </w:p>
    <w:p>
      <w:pPr>
        <w:pStyle w:val="Heading4"/>
      </w:pPr>
      <w:r>
        <w:t>Author Response:</w:t>
      </w:r>
    </w:p>
    <w:p>
      <w:r>
        <w:t>ACCEPTED. Phase 3 expanded with extended repeat-dosing safety studies. New Phase 3 design: (1) Standard 28-day rat repeat-dose GLP tox (unchanged), PLUS (2) Repeat-dosing mouse study (BALB/c, 3-month treatment period, monthly dosing ×4, safety monitoring to 6 months post-final dose), (3) Quantitative iron biodegradation: Prussian blue staining + ICP-AES elemental analysis of spleen, liver, kidney at 1 day, 7 days, 28 days, 3 months, 6 months post-final dose, (4) Histopathology endpoints: fibrosis assessment, hemosiderosis scoring, organ dysfunction markers. Budget impact: +$40–60k, timeline +6–8 weeks. Decision gate month 21 (Phase 3 completion) to inform Pre-IND meeting agenda. Regulatory strategy now explicitly includes FDA Pre-IND meeting discussion of 'adequate long-term safety database' definition. Manuscript updated with extended Phase 3 scope.</w:t>
      </w:r>
    </w:p>
    <w:p>
      <w:pPr>
        <w:pStyle w:val="Heading3"/>
      </w:pPr>
      <w:r>
        <w:t>Phase 1 Human Study Design May Be Underpowered for Efficacy Claims (SEVERITY: MODERATE-HIGH)</w:t>
      </w:r>
    </w:p>
    <w:p>
      <w:pPr>
        <w:pStyle w:val="Heading4"/>
      </w:pPr>
      <w:r>
        <w:t>Reviewer Feedback:</w:t>
      </w:r>
    </w:p>
    <w:p>
      <w:r>
        <w:t>Preclinical roadmap proposes Phase 1 as purely functional validation (in vitro CD4+ assay). EoE has natural history fluctuations; without Phase 1b in vivo arm, you lack proof-of-mechanism for IND package. Recommend: Phase 1 includes BOTH ex vivo functional arm (n=20) + single-dose exploratory in vivo arm (n=5–10 EoE patients).</w:t>
      </w:r>
    </w:p>
    <w:p>
      <w:pPr>
        <w:pStyle w:val="Heading4"/>
      </w:pPr>
      <w:r>
        <w:t>Author Response:</w:t>
      </w:r>
    </w:p>
    <w:p>
      <w:r>
        <w:t>ACCEPTED. Revised Phase 1 to include two-arm design: (1) Phase 1a: Ex vivo CD4+ functional validation (n=20 EoE patients, HLA-DR7 stratified), readout = ELISPOT IL-10+ Tr1 frequency baseline vs. post-stimulation with pMHC constructs + TCR-Vβ sequencing for clonal expansion + tetramer staining, (2) Phase 1b: Exploratory single-ascending dose in vivo arm (n=5–10 EoE patients, if Phase 1a compels, FDA agreement), readout = primary endpoint esophageal eosinophil reduction (esophageal biopsy ≥30% reduction from baseline) at 1 week, 2 weeks, 4 weeks post-dose + serum biomarkers (eotaxin-2, IL-5, SC5a) + safety monitoring. Phase 1 timeline increased to weeks 1–14; budget increased to $40–65k (includes Phase 1b in vivo arm +$20–30k). Phase 1b in vivo arm is contingent on Phase 1a compel + FDA concurrence (not automatic). This addresses FDA requirement for proof-of-mechanism in IND package and substantially strengthens breakthrough designation application at month 12. Manuscript updated with revised Phase 1 design.</w:t>
      </w:r>
    </w:p>
    <w:p>
      <w:pPr>
        <w:pStyle w:val="Heading3"/>
      </w:pPr>
      <w:r>
        <w:t>HLA Allele Restriction Is a Regulatory Red Flag (SEVERITY: MODERATE-HIGH)</w:t>
      </w:r>
    </w:p>
    <w:p>
      <w:pPr>
        <w:pStyle w:val="Heading4"/>
      </w:pPr>
      <w:r>
        <w:t>Reviewer Feedback:</w:t>
      </w:r>
    </w:p>
    <w:p>
      <w:r>
        <w:t>All epitopes are DR7-restricted; 65–70% of EoE patients carry other alleles. FDA will require: Phase 1 patient stratification by HLA responsiveness, responder biomarker identification, companion diagnostic strategy, multi-HLA roadmap for Phase 2 expansion.</w:t>
      </w:r>
    </w:p>
    <w:p>
      <w:pPr>
        <w:pStyle w:val="Heading4"/>
      </w:pPr>
      <w:r>
        <w:t>Author Response:</w:t>
      </w:r>
    </w:p>
    <w:p>
      <w:r>
        <w:t>ACCEPTED. Revised Phase 1 to include: (1) HLA genotyping of all n=20 patients (4-digit typing for HLA-DR, DQ alleles), (2) Phase 1 responder biomarker feasibility study: identify baseline T cell phenotype markers (CD4+ Foxp3- IL-5+, eosinophil-associated T cell frequency) that predict IL-10+ Tr1 response to dairy pMHC, (3) Phase 1b in vivo stratification: recruit both HLA-DR7+ and non-DR7+ patients to assess whether mono-allele design is sufficient or multi-HLA needed for Phase 2, (4) Explicit Phase 1 weeks 1–4 multi-HLA epitope mapping (as noted in Reviewer 1 response). Phase 2 IND will include companion diagnostic strategy: HLA genotyping assay + responder biomarker assay for patient selection. Phase 2 expansion to multi-HLA variants will be documented in IND application as clear pathway to address 80%+ population coverage. Regulatory strategy now includes Pre-IND meeting discussion of companion diagnostic co-development (potential partner engagement for LDT or IVD assay). Manuscript section on 'Regulatory Strategy &amp; Companion Diagnostics' added.</w:t>
      </w:r>
    </w:p>
    <w:p>
      <w:r>
        <w:br w:type="page"/>
      </w:r>
    </w:p>
    <w:p>
      <w:pPr>
        <w:pStyle w:val="Heading1"/>
      </w:pPr>
      <w:r>
        <w:t>SUMMARY OF ALL REVISIONS TO MANUSCRIPT &amp; ROADMAP</w:t>
      </w:r>
    </w:p>
    <w:p>
      <w:r>
        <w:rPr>
          <w:b/>
        </w:rPr>
        <w:t xml:space="preserve">Phase 1 Scope: </w:t>
      </w:r>
      <w:r>
        <w:t>Ex vivo ONLY → Ex vivo (n=20) + Phase 1b in vivo (n=5–10); +$20–30k, +2–4 weeks</w:t>
      </w:r>
    </w:p>
    <w:p>
      <w:r>
        <w:rPr>
          <w:b/>
        </w:rPr>
        <w:t xml:space="preserve">Multi-HLA Strategy: </w:t>
      </w:r>
      <w:r>
        <w:t>Not addressed → Weeks 1–4 epitope mapping for DR4/DQ2/DQ8/DQ5; Phase 2 multi-HLA roadmap</w:t>
      </w:r>
    </w:p>
    <w:p>
      <w:r>
        <w:rPr>
          <w:b/>
        </w:rPr>
        <w:t xml:space="preserve">Manufacturing: </w:t>
      </w:r>
      <w:r>
        <w:t>Roadmap-only → Detailed Phase 1 months 1–3 process development with backup chemistry</w:t>
      </w:r>
    </w:p>
    <w:p>
      <w:r>
        <w:rPr>
          <w:b/>
        </w:rPr>
        <w:t xml:space="preserve">Phase 3 Safety: </w:t>
      </w:r>
      <w:r>
        <w:t>28-day tox only → Extended repeat-dosing mouse + quantitative iron biodegradation (6-month tracking)</w:t>
      </w:r>
    </w:p>
    <w:p>
      <w:r>
        <w:rPr>
          <w:b/>
        </w:rPr>
        <w:t xml:space="preserve">Phase 2 Valency: </w:t>
      </w:r>
      <w:r>
        <w:t>Fixed 5/NP → 3/5/8 pMHC/NP dose–response optimization arm</w:t>
      </w:r>
    </w:p>
    <w:p>
      <w:r>
        <w:rPr>
          <w:b/>
        </w:rPr>
        <w:t xml:space="preserve">Regulatory: </w:t>
      </w:r>
      <w:r>
        <w:t>Strategy mentioned → Pre-IND meeting package (month 6), breakthrough designation timeline (month 12)</w:t>
      </w:r>
    </w:p>
    <w:p>
      <w:r>
        <w:rPr>
          <w:b/>
        </w:rPr>
        <w:t xml:space="preserve">Companion Dx: </w:t>
      </w:r>
      <w:r>
        <w:t>Not specified → HLA genotyping + responder biomarker feasibility in Phase 1; LDT co-development strategy</w:t>
      </w:r>
    </w:p>
    <w:p>
      <w:r>
        <w:rPr>
          <w:b/>
        </w:rPr>
        <w:t xml:space="preserve">Budget: </w:t>
      </w:r>
      <w:r>
        <w:t>$195–355k → $275–457k (includes Phase 1b in vivo, extended Phase 3, manufacturing dev, contingency)</w:t>
      </w:r>
    </w:p>
    <w:p>
      <w:r>
        <w:rPr>
          <w:b/>
        </w:rPr>
        <w:t xml:space="preserve">Timeline: </w:t>
      </w:r>
      <w:r>
        <w:t>18–24 months → 18–24 months (same, but more explicit on Pre-IND critical path)</w:t>
      </w:r>
    </w:p>
    <w:p>
      <w:r>
        <w:rPr>
          <w:b/>
        </w:rPr>
        <w:t xml:space="preserve">Clinical Endpoints: </w:t>
      </w:r>
      <w:r>
        <w:t>Vague → PRIMARY = esophageal eosinophil reduction ≥30% (biopsy-based); SECONDARY = serum biomarkers + anti-NP antibodies</w:t>
      </w:r>
    </w:p>
    <w:p>
      <w:r>
        <w:br w:type="page"/>
      </w:r>
    </w:p>
    <w:p>
      <w:pPr>
        <w:pStyle w:val="Heading1"/>
      </w:pPr>
      <w:r>
        <w:t>OVERALL ASSESSMENT</w:t>
      </w:r>
    </w:p>
    <w:p>
      <w:r>
        <w:t>All three reviewers provided constructive, detailed feedback addressing scientific merit, manufacturability, regulatory pathway, and clinical translation readiness. No deal-breaker concerns were identified. All critical issues are mitigable through the revisions outlined above.</w:t>
        <w:br/>
        <w:br/>
        <w:t>RECOMMENDATION: PROCEED TO PHASE 1 WITH SPECIFIED CAVEATS</w:t>
        <w:br/>
        <w:br/>
        <w:t>The revised manuscript, roadmap, and regulatory strategy now address all major concerns raised by the reviewers. Key improvements:</w:t>
        <w:br/>
        <w:br/>
        <w:t>1. **Phase 1 empowered with both ex vivo AND in vivo proof-of-mechanism** — strengthens IND narrative</w:t>
        <w:br/>
        <w:t>2. **Multi-HLA expansion explicitly planned for Phase 1 weeks 1–4** — dramatically improves commercial viability (70k → 160k addressable patients)</w:t>
        <w:br/>
        <w:t>3. **Manufacturing de-risked with process development and backup chemistry** — reduces Phase 2→3 iteration risk</w:t>
        <w:br/>
        <w:t>4. **Extended Phase 3 safety studies address FDA nanomedicine guidance** — enables regulatory alignment</w:t>
        <w:br/>
        <w:t>5. **Regulatory affairs infrastructure and Pre-IND timeline established** — demonstrates project rigor</w:t>
        <w:br/>
        <w:br/>
        <w:t>Timeline to IND submission: 18–20 months (with breakthrough designation pathway enabling Phase 2 acceleration by 6–12 months if interim data compelling).</w:t>
        <w:br/>
        <w:br/>
        <w:t>Budget: $275–457k (base $275k + contingency $182k for unforeseen manufacturing/regulatory challenges)</w:t>
        <w:br/>
        <w:br/>
        <w:t>Next Steps: Assign regulatory affairs lead (week 1), begin multi-HLA epitope mapping (weeks 1–4), contact FDA for Pre-IND meeting scheduling (month 1), initiate CMO scouting (months 1–3).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