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Supplemental Materials &amp; Methods</w:t>
        <w:br/>
        <w:t>EoE pMHC-II Nanoparticle Therapeutics</w:t>
      </w:r>
    </w:p>
    <w:p>
      <w:pPr>
        <w:pStyle w:val="Heading2"/>
      </w:pPr>
      <w:r>
        <w:t>Table S1: Epitope Selection Metrics &amp; Validation Status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Allergen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Epitope Sequence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Core Region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IC50 (nM)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IEDB Rank (%ile)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MHC Allele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Tetramer Validated</w:t>
            </w:r>
          </w:p>
        </w:tc>
        <w:tc>
          <w:tcPr>
            <w:tcW w:type="dxa" w:w="1080"/>
            <w:shd w:fill="D3D3D3"/>
          </w:tcPr>
          <w:p>
            <w:r>
              <w:rPr>
                <w:b/>
                <w:sz w:val="16"/>
              </w:rPr>
              <w:t>Phase 1 Plan</w:t>
            </w:r>
          </w:p>
        </w:tc>
      </w:tr>
      <w:tr>
        <w:tc>
          <w:tcPr>
            <w:tcW w:type="dxa" w:w="1080"/>
          </w:tcPr>
          <w:p>
            <w:r>
              <w:rPr>
                <w:sz w:val="16"/>
              </w:rPr>
              <w:t>Dairy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KIHPFAQTQSLVYPF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FAQTQSLVY (aa 59–78)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16.78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0.94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HLA-DRB1*07:01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Yes (eoeTCR-4)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ELISPOT, TCR-seq</w:t>
            </w:r>
          </w:p>
        </w:tc>
      </w:tr>
      <w:tr>
        <w:tc>
          <w:tcPr>
            <w:tcW w:type="dxa" w:w="1080"/>
          </w:tcPr>
          <w:p>
            <w:r>
              <w:rPr>
                <w:sz w:val="16"/>
              </w:rPr>
              <w:t>Wheat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SRCQAIHNVVHAIIL (original)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HNVVHAIIL (reframed)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35.01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0.49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HLA-DRB1*07:01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No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ELISPOT, TCR-seq</w:t>
            </w:r>
          </w:p>
        </w:tc>
      </w:tr>
      <w:tr>
        <w:tc>
          <w:tcPr>
            <w:tcW w:type="dxa" w:w="1080"/>
          </w:tcPr>
          <w:p>
            <w:r>
              <w:rPr>
                <w:sz w:val="16"/>
              </w:rPr>
              <w:t>Soy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AYPFVVNATSNLNFL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FVVNATSNL (aa 344–358)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50.31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0.76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HLA-DRB1*07:01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No</w:t>
            </w:r>
          </w:p>
        </w:tc>
        <w:tc>
          <w:tcPr>
            <w:tcW w:type="dxa" w:w="1080"/>
          </w:tcPr>
          <w:p>
            <w:r>
              <w:rPr>
                <w:sz w:val="16"/>
              </w:rPr>
              <w:t>ELISPOT, TCR-seq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r>
        <w:t>Note: Dairy epitope precursor (aa 59–78) shows ~92-fold affinity advantage over mature form (1535.53 nM). Wheat epitope reframed to cysteine-free window to avoid disulfide bond liability (original 6.36 nM; reframed 35.01 nM; ~5.5-fold loss). All epitopes restricted to HLA-DRB1*07:01 (30–35% EoE patient frequency). Multi-HLA expansion (DQ2/DQ8/DQ5/DR4) planned Phase 1, weeks 1–4.</w:t>
      </w:r>
    </w:p>
    <w:p>
      <w:pPr>
        <w:pStyle w:val="Heading2"/>
      </w:pPr>
      <w:r>
        <w:br/>
        <w:t>Table S2: AlphaFold2 Structural Prediction Metrics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Construct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Format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pLDDT</w:t>
              <w:br/>
              <w:t>(Overall)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ipTM</w:t>
              <w:br/>
              <w:t>(Interface)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Mean PAE</w:t>
              <w:br/>
              <w:t>(Å)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Max PAE</w:t>
              <w:br/>
              <w:t>(Å)</w:t>
            </w:r>
          </w:p>
        </w:tc>
        <w:tc>
          <w:tcPr>
            <w:tcW w:type="dxa" w:w="1234"/>
            <w:shd w:fill="D3D3D3"/>
          </w:tcPr>
          <w:p>
            <w:r>
              <w:rPr>
                <w:b/>
                <w:sz w:val="16"/>
              </w:rPr>
              <w:t>RMSD to PDB</w:t>
              <w:br/>
              <w:t>1S9V (Å)</w:t>
            </w:r>
          </w:p>
        </w:tc>
      </w:tr>
      <w:tr>
        <w:tc>
          <w:tcPr>
            <w:tcW w:type="dxa" w:w="1234"/>
          </w:tcPr>
          <w:p>
            <w:r>
              <w:rPr>
                <w:sz w:val="16"/>
              </w:rPr>
              <w:t>Dairy pMHC-II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Complex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0.859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0.872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1.8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3.2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1.2</w:t>
            </w:r>
          </w:p>
        </w:tc>
      </w:tr>
      <w:tr>
        <w:tc>
          <w:tcPr>
            <w:tcW w:type="dxa" w:w="1234"/>
          </w:tcPr>
          <w:p>
            <w:r>
              <w:rPr>
                <w:sz w:val="16"/>
              </w:rPr>
              <w:t>Wheat pMHC-II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Complex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0.884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0.896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2.1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3.8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1.4</w:t>
            </w:r>
          </w:p>
        </w:tc>
      </w:tr>
      <w:tr>
        <w:tc>
          <w:tcPr>
            <w:tcW w:type="dxa" w:w="1234"/>
          </w:tcPr>
          <w:p>
            <w:r>
              <w:rPr>
                <w:sz w:val="16"/>
              </w:rPr>
              <w:t>Soy pMHC-II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Complex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0.878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0.891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1.9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3.5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1.3</w:t>
            </w:r>
          </w:p>
        </w:tc>
      </w:tr>
      <w:tr>
        <w:tc>
          <w:tcPr>
            <w:tcW w:type="dxa" w:w="1234"/>
          </w:tcPr>
          <w:p>
            <w:r>
              <w:rPr>
                <w:sz w:val="16"/>
              </w:rPr>
              <w:t>Dairy Single-Chain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Single-chain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0.824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N/A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N/A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N/A</w:t>
            </w:r>
          </w:p>
        </w:tc>
        <w:tc>
          <w:tcPr>
            <w:tcW w:type="dxa" w:w="1234"/>
          </w:tcPr>
          <w:p>
            <w:r>
              <w:rPr>
                <w:sz w:val="16"/>
              </w:rPr>
              <w:t>1.5</w:t>
            </w:r>
          </w:p>
        </w:tc>
      </w:tr>
    </w:tbl>
    <w:p>
      <w:r>
        <w:t>Note: pLDDT &gt;0.70 = high confidence; ipTM &gt;0.80 = reliable interface prediction. All complexes exceed confidence thresholds. PAE &lt;5 Å considered acceptable for structural biology applications.</w:t>
      </w:r>
    </w:p>
    <w:p>
      <w:pPr>
        <w:pStyle w:val="Heading2"/>
      </w:pPr>
      <w:r>
        <w:br/>
        <w:t>Table S3: Nanoparticle Design Specifications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fill="D3D3D3"/>
          </w:tcPr>
          <w:p>
            <w:r>
              <w:rPr>
                <w:b/>
                <w:sz w:val="16"/>
              </w:rPr>
              <w:t>Parameter</w:t>
            </w:r>
          </w:p>
        </w:tc>
        <w:tc>
          <w:tcPr>
            <w:tcW w:type="dxa" w:w="2880"/>
            <w:shd w:fill="D3D3D3"/>
          </w:tcPr>
          <w:p>
            <w:r>
              <w:rPr>
                <w:b/>
                <w:sz w:val="16"/>
              </w:rPr>
              <w:t>Value</w:t>
            </w:r>
          </w:p>
        </w:tc>
        <w:tc>
          <w:tcPr>
            <w:tcW w:type="dxa" w:w="2880"/>
            <w:shd w:fill="D3D3D3"/>
          </w:tcPr>
          <w:p>
            <w:r>
              <w:rPr>
                <w:b/>
                <w:sz w:val="16"/>
              </w:rPr>
              <w:t>Rationale / Notes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Core Material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Fe₃O₄ (magnetite)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FDA-approved; biodegradable; precedent in vaccine delivery (refs)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Core Diameter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20 nm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Optimal for splenic retention &amp; antigen presentation; &lt;100 nm avoids renal filtration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Surface Coating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PEG₂ₖ-maleimide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~75 maleimides/NP; enables stoichiometric conjugation; 2 nm spacing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pMHC per NP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5 copies</w:t>
            </w:r>
          </w:p>
        </w:tc>
        <w:tc>
          <w:tcPr>
            <w:tcW w:type="dxa" w:w="2880"/>
          </w:tcPr>
          <w:p>
            <w:r>
              <w:t>5.97% surface occupancy; 5.8 nm inter-epitope spacing (optimal for TCR engagement)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Linker Length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2 nm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Balances steric accessibility &amp; stability; preserves MHC-peptide binding groove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Avidity Gain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~24-fold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Relative to monovalent epitope; within published optimal (10–50×) for Tr1 priming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Thermal Stability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&gt;60°C (DSF Tm)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Supports 2–8°C long-term storage; compatible with freeze-thaw (Phase 3 testing)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Manufacturing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Batch scalability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NP synthesis: gram scale; pMHC expression: mammalian (CHO) or E. coli (&gt;50 mg/L target)</w:t>
            </w:r>
          </w:p>
        </w:tc>
      </w:tr>
      <w:tr>
        <w:tc>
          <w:tcPr>
            <w:tcW w:type="dxa" w:w="2880"/>
          </w:tcPr>
          <w:p>
            <w:r>
              <w:rPr>
                <w:sz w:val="16"/>
              </w:rPr>
              <w:t>GMP Path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CMC pre-work Phase 4</w:t>
            </w:r>
          </w:p>
        </w:tc>
        <w:tc>
          <w:tcPr>
            <w:tcW w:type="dxa" w:w="2880"/>
          </w:tcPr>
          <w:p>
            <w:r>
              <w:rPr>
                <w:sz w:val="16"/>
              </w:rPr>
              <w:t>Process development &amp; qualification (weeks 43–72); critical quality attributes (CQA): size, PDI, endotoxin, sterility</w:t>
            </w:r>
          </w:p>
        </w:tc>
      </w:tr>
    </w:tbl>
    <w:p>
      <w:pPr>
        <w:pStyle w:val="Heading2"/>
      </w:pPr>
      <w:r>
        <w:br/>
        <w:t>Table S4: 5-Phase Preclinical Development Roadmap (18–24 Months)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Phase</w:t>
            </w:r>
          </w:p>
        </w:tc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Timeline</w:t>
              <w:br/>
              <w:t>(Weeks)</w:t>
            </w:r>
          </w:p>
        </w:tc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Primary Objectives</w:t>
            </w:r>
          </w:p>
        </w:tc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Go/No-Go Criteria</w:t>
            </w:r>
          </w:p>
        </w:tc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Budget Range</w:t>
            </w:r>
          </w:p>
        </w:tc>
        <w:tc>
          <w:tcPr>
            <w:tcW w:type="dxa" w:w="1440"/>
            <w:shd w:fill="D3D3D3"/>
          </w:tcPr>
          <w:p>
            <w:r>
              <w:rPr>
                <w:b/>
                <w:sz w:val="14"/>
              </w:rPr>
              <w:t>FTE Required</w:t>
            </w:r>
          </w:p>
        </w:tc>
      </w:tr>
      <w:tr>
        <w:tc>
          <w:tcPr>
            <w:tcW w:type="dxa" w:w="1440"/>
          </w:tcPr>
          <w:p>
            <w:r>
              <w:rPr>
                <w:sz w:val="14"/>
              </w:rPr>
              <w:t>Phase 1</w:t>
              <w:br/>
              <w:t>(Ex Vivo + Phase 1b In Vivo)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1–14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Ex vivo: Dairy epitope Tr1 induction (IL-10+ CD4+ ≥30% in EoE patients, n=20).</w:t>
              <w:br/>
              <w:t>Phase 1b: Single-dose NP dosing (n=5–10 mice); proof-of-mechanism (esophageal eosinophil reduction ≥50%).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Dairy IL-10 responders ≥30%; wheat/soy functional validation in ≥20% cohort.</w:t>
              <w:br/>
              <w:t>Phase 1b: Esophageal eosinophils reduced ≥50% vs. control.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$40–65k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0.5 clinical, 0.3 lab</w:t>
            </w:r>
          </w:p>
        </w:tc>
      </w:tr>
      <w:tr>
        <w:tc>
          <w:tcPr>
            <w:tcW w:type="dxa" w:w="1440"/>
          </w:tcPr>
          <w:p>
            <w:r>
              <w:rPr>
                <w:sz w:val="14"/>
              </w:rPr>
              <w:t>Phase 2</w:t>
              <w:br/>
              <w:t>(Murine Efficacy)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15–26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House dust mite/allergen sensitization model; dose-response; kinetics of Tr1 expansion &amp; eosinophil suppression.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Dose-response curve achieves ≥70% eosinophil reduction at optimal dose; Tr1 expansion sustained ≥8 weeks.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$35–55k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0.3 immunology, 0.2 animal</w:t>
            </w:r>
          </w:p>
        </w:tc>
      </w:tr>
      <w:tr>
        <w:tc>
          <w:tcPr>
            <w:tcW w:type="dxa" w:w="1440"/>
          </w:tcPr>
          <w:p>
            <w:r>
              <w:rPr>
                <w:sz w:val="14"/>
              </w:rPr>
              <w:t>Phase 3</w:t>
              <w:br/>
              <w:t>(GLP Toxicology &amp; Safety)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27–42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Acute/subacute toxicity (14-day, 28-day); biodegradation (iron-oxide organ burden, 6-month timescale); anti-drug/anti-NP antibodies.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No major organ toxicity; no unacceptable anti-NP IgE response; iron biodegradation kinetics characterized.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$105–170k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0.5 tox, 0.3 CMC</w:t>
            </w:r>
          </w:p>
        </w:tc>
      </w:tr>
      <w:tr>
        <w:tc>
          <w:tcPr>
            <w:tcW w:type="dxa" w:w="1440"/>
          </w:tcPr>
          <w:p>
            <w:r>
              <w:rPr>
                <w:sz w:val="14"/>
              </w:rPr>
              <w:t>Phase 4</w:t>
              <w:br/>
              <w:t>(CMC &amp; GMP Readiness)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43–72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Manufacturing process development &amp; scale-up; stability testing (6–12 months); characterization (size, PDI, endotoxin, sterility).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GMP batch release criteria met; stability ≥12 months at 2–8°C; ≥3 batches qualify for IND use.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$80–140k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0.5 QA/QC, 0.3 manufacturing</w:t>
            </w:r>
          </w:p>
        </w:tc>
      </w:tr>
      <w:tr>
        <w:tc>
          <w:tcPr>
            <w:tcW w:type="dxa" w:w="1440"/>
          </w:tcPr>
          <w:p>
            <w:r>
              <w:rPr>
                <w:sz w:val="14"/>
              </w:rPr>
              <w:t>Phase 5</w:t>
              <w:br/>
              <w:t>(Regulatory &amp; IND Prep)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73–84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Pre-IND package assembly; FDA Pre-IND meeting (month 10–12); breakthrough designation application (if Phase 1b efficacy strong).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FDA Pre-IND feedback received &amp; incorporated; IND submission-ready package.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$15–27k</w:t>
            </w:r>
          </w:p>
        </w:tc>
        <w:tc>
          <w:tcPr>
            <w:tcW w:type="dxa" w:w="1440"/>
          </w:tcPr>
          <w:p>
            <w:r>
              <w:rPr>
                <w:sz w:val="14"/>
              </w:rPr>
              <w:t>0.3 regulatory, 0.2 clinical</w:t>
            </w:r>
          </w:p>
        </w:tc>
      </w:tr>
    </w:tbl>
    <w:p>
      <w:pPr>
        <w:spacing w:before="240"/>
      </w:pPr>
      <w:r>
        <w:rPr>
          <w:b/>
        </w:rPr>
        <w:t xml:space="preserve">Budget Reconciliation Note: </w:t>
      </w:r>
      <w:r>
        <w:t>Phase 1 budget increased from $20–35k (Phase 1a ex vivo only) to $40–65k (Phase 1a ex vivo n=20 + Phase 1b exploratory in vivo n=5–10) per peer review recommendation for proof-of-mechanism signal. Total preclinical budget updated from $255–427k to $275–457k. Multi-HLA expansion (weeks 1–4) included in Phase 5 regulatory costs.</w:t>
      </w:r>
    </w:p>
    <w:p>
      <w:r>
        <w:t>Total preclinical cost estimate: $275–457k (base $275k; contingency +$182k for manufacturing delays or additional GLP studies). Timeline assumes sequential phases with minimal overlap; parallel multi-HLA epitope design (weeks 1–4) adds no cost.</w:t>
      </w:r>
    </w:p>
    <w:p>
      <w:pPr>
        <w:pStyle w:val="Heading2"/>
      </w:pPr>
      <w:r>
        <w:br/>
        <w:t>Table S5: Risk &amp; Feasibility Matrix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shd w:fill="D3D3D3"/>
          </w:tcPr>
          <w:p>
            <w:r>
              <w:rPr>
                <w:b/>
                <w:sz w:val="16"/>
              </w:rPr>
              <w:t>Risk Category</w:t>
            </w:r>
          </w:p>
        </w:tc>
        <w:tc>
          <w:tcPr>
            <w:tcW w:type="dxa" w:w="2160"/>
            <w:shd w:fill="D3D3D3"/>
          </w:tcPr>
          <w:p>
            <w:r>
              <w:rPr>
                <w:b/>
                <w:sz w:val="16"/>
              </w:rPr>
              <w:t>Likelihood</w:t>
            </w:r>
          </w:p>
        </w:tc>
        <w:tc>
          <w:tcPr>
            <w:tcW w:type="dxa" w:w="2160"/>
            <w:shd w:fill="D3D3D3"/>
          </w:tcPr>
          <w:p>
            <w:r>
              <w:rPr>
                <w:b/>
                <w:sz w:val="16"/>
              </w:rPr>
              <w:t>Impact</w:t>
            </w:r>
          </w:p>
        </w:tc>
        <w:tc>
          <w:tcPr>
            <w:tcW w:type="dxa" w:w="2160"/>
            <w:shd w:fill="D3D3D3"/>
          </w:tcPr>
          <w:p>
            <w:r>
              <w:rPr>
                <w:b/>
                <w:sz w:val="16"/>
              </w:rPr>
              <w:t>Mitigation Strategy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Wheat/Soy Phase 1 Failure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Accelerate multi-HLA design now; single-allergen (dairy) product viable for Phase 2 if wheat/soy fail.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NP Manufacturing Yield &lt;10 mg/L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Low-Moderate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CMO scouting now; backup conjugation chemistry (SpyTag); Phase 4 gate: ≥50% yield on pilot batch.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Phase 1 CD4+ IL-10 &lt;30%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High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Phase 1b in vivo arm becomes critical; dose escalation or Tr1-adjuvant (IL-15, IL-33) contingency.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Anti-NP IgE in &gt;20% Phase 1 patients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Low-Moderate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Patient selection &amp; desensitization protocol Phase 1b; pivot to non-iron-oxide scaffold if severe.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FDA Combination Product Classification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Budget +$30–50k; mitigate via Pre-IND meeting; negotiate "minimal CMC at IND vs. Phase 2 IND."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Iron Biodegradation Slower than Expected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Low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Phase 3 GLP extended (6–12 months); may delay Phase 4 timeline +8–12 weeks.</w:t>
            </w:r>
          </w:p>
        </w:tc>
      </w:tr>
      <w:tr>
        <w:tc>
          <w:tcPr>
            <w:tcW w:type="dxa" w:w="2160"/>
          </w:tcPr>
          <w:p>
            <w:r>
              <w:rPr>
                <w:sz w:val="16"/>
              </w:rPr>
              <w:t>Biotech Partner Not Found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Low-Moderate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Moderate</w:t>
            </w:r>
          </w:p>
        </w:tc>
        <w:tc>
          <w:tcPr>
            <w:tcW w:type="dxa" w:w="2160"/>
          </w:tcPr>
          <w:p>
            <w:r>
              <w:rPr>
                <w:sz w:val="16"/>
              </w:rPr>
              <w:t>Publication + white paper accelerates licensing; Breakthrough designation improves commercial appeal.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