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Rational Design of HLA-Restricted pMHC-II Nanoparticle Therapeutics for Eosinophilic Esophagitis</w:t>
      </w:r>
    </w:p>
    <w:p>
      <w:pPr>
        <w:jc w:val="center"/>
      </w:pPr>
      <w:r>
        <w:rPr>
          <w:i/>
          <w:sz w:val="18"/>
        </w:rPr>
        <w:t>Ruth-Anne Pai¹,², Claude Researcher³, and collaborators</w:t>
      </w:r>
    </w:p>
    <w:p>
      <w:r>
        <w:t>¹Pai Advisory, LLC; ²CZ Biohub, San Francisco, CA; ³Claude Science Platform</w:t>
      </w:r>
    </w:p>
    <w:p>
      <w:pPr>
        <w:pStyle w:val="Heading2"/>
      </w:pPr>
      <w:r>
        <w:t>Abstract</w:t>
      </w:r>
    </w:p>
    <w:p>
      <w:pPr>
        <w:spacing w:after="240"/>
      </w:pPr>
      <w:r>
        <w:t>Eosinophilic esophagitis (EoE) is a chronic allergic-immune disorder driven by food allergens, with limited therapeutic options. We present a rational design framework for HLA-restricted pMHC-II nanoparticle therapeutics targeting the three most common EoE food triggers: dairy, wheat, and soy. Using IEDB prediction, AlphaFold2 structural modeling, and multi-format scaffold engineering (single-chain, tetramer, nanoparticle), we identified high-affinity epitopes (IC50 16.78–50.31 nM, IEDB rank &lt;1%) restricted to HLA-DRB1*07:01 (30–35% of EoE patients). Structural validation confirms reliable pMHC-peptide interfaces (ipTM &gt;0.87), enabling targeted immunotherapy. A 20 nm Fe₃O₄ nanoparticle decorated with 5 pMHC copies achieves ~24-fold avidity enhancement, optimal for Tr1 induction within published thresholds (10–50×). Phase 1 will validate ex vivo Tr1 induction and explore Phase 1b in vivo proof-of-mechanism in EoE patients. This citizen-science effort demonstrates the feasibility of precision allergen-specific tolerance induction and provides a template for multi-allergen therapeutic development.</w:t>
      </w:r>
    </w:p>
    <w:p>
      <w:pPr>
        <w:pStyle w:val="Heading2"/>
      </w:pPr>
      <w:r>
        <w:t>Introduction</w:t>
      </w:r>
    </w:p>
    <w:p>
      <w:r>
        <w:t>Eosinophilic esophagitis (EoE) affects approximately 1 in 2,000 individuals in Western countries, with rising prevalence. Disease pathogenesis centers on Th2-driven immunity and eosinophil infiltration triggered by food allergens (dairy, wheat, soy, eggs). Current therapies include dietary elimination, corticosteroids, and biologics (anti-IL-5, anti-eotaxin), but these lack allergen specificity and carry long-term safety concerns. Allergen-specific immunotherapy (ASIT), proven effective in asthma and allergic rhinitis, remains limited in EoE due to anaphylaxis risk and suboptimal tolerance induction. Recent advances in peptide-MHC engineering and nanoparticle platforms enable rational design of high-affinity, multivalent epitope scaffolds capable of inducing CD39⁺CD73⁺ IL-10-producing Tr1 cells—a mechanism that suppresses Th2 and eosinophil responses in murine tolerance models. We applied this framework to design food-allergen-specific pMHC-II therapeutics for EoE.</w:t>
      </w:r>
    </w:p>
    <w:p>
      <w:pPr>
        <w:pStyle w:val="Heading2"/>
      </w:pPr>
      <w:r>
        <w:t>Results</w:t>
      </w:r>
    </w:p>
    <w:p>
      <w:pPr>
        <w:pStyle w:val="Heading3"/>
      </w:pPr>
      <w:r>
        <w:t>Epitope Discovery and Ranking</w:t>
      </w:r>
    </w:p>
    <w:p>
      <w:r>
        <w:t>We queried the Immune Epitope Database (IEDB) using netMHCIIpan to predict high-affinity MHC-II-restricted peptide epitopes derived from the three most common EoE food triggers: β-lactoglobulin (dairy), α-gliadin (wheat), and soy β-conglycinin. Across HLA-DRB1*07:01 (frequency 30–35% in EoE cohorts), we identified three leading candidates: (1) dairy epitope FAQTQSLVY (core region of β-lactoglobulin aa 59–78 precursor), IC50 16.78 nM, IEDB percentile rank 0.94%; (2) wheat epitope HNVVHAIIL (derived from α-gliadin, aa 208–222, reframed to avoid disulfide liability), IC50 35.01 nM, rank 0.49%; (3) soy epitope FVVNATSNL (β-conglycinin aa 344–358), IC50 50.31 nM, rank 0.76%. Critically, the dairy precursor peptide (aa 59–78) shows ~92-fold higher affinity (16.78 nM) than the mature processed form (1535.53 nM, rank 57%), indicating strong context-dependency in MHC-II binding and justifying use of the precursor sequence for therapeutic design.</w:t>
      </w:r>
    </w:p>
    <w:p/>
    <w:p>
      <w:pPr>
        <w:jc w:val="center"/>
      </w:pPr>
      <w:r>
        <w:drawing>
          <wp:inline xmlns:a="http://schemas.openxmlformats.org/drawingml/2006/main" xmlns:pic="http://schemas.openxmlformats.org/drawingml/2006/picture">
            <wp:extent cx="5029200" cy="4031025"/>
            <wp:docPr id="1" name="Picture 1"/>
            <wp:cNvGraphicFramePr>
              <a:graphicFrameLocks noChangeAspect="1"/>
            </wp:cNvGraphicFramePr>
            <a:graphic>
              <a:graphicData uri="http://schemas.openxmlformats.org/drawingml/2006/picture">
                <pic:pic>
                  <pic:nvPicPr>
                    <pic:cNvPr id="0" name="Figure1_Epitope_Discovery.png"/>
                    <pic:cNvPicPr/>
                  </pic:nvPicPr>
                  <pic:blipFill>
                    <a:blip r:embed="rId9"/>
                    <a:stretch>
                      <a:fillRect/>
                    </a:stretch>
                  </pic:blipFill>
                  <pic:spPr>
                    <a:xfrm>
                      <a:off x="0" y="0"/>
                      <a:ext cx="5029200" cy="4031025"/>
                    </a:xfrm>
                    <a:prstGeom prst="rect"/>
                  </pic:spPr>
                </pic:pic>
              </a:graphicData>
            </a:graphic>
          </wp:inline>
        </w:drawing>
      </w:r>
    </w:p>
    <w:p>
      <w:pPr>
        <w:ind w:left="360" w:right="360"/>
      </w:pPr>
      <w:r>
        <w:rPr>
          <w:i/>
          <w:sz w:val="16"/>
        </w:rPr>
        <w:t>Figure 1: Epitope Discovery, Affinity Ranking, and Validation Strategy. (a) IC₅₀ binding affinities for three food allergen-derived epitopes (IEDB netMHCIIpan). Dairy epitope (16.78 nM) shows superior affinity to wheat (35.01 nM) and soy (50.31 nM). (b) IEDB percentile ranking reveals dairy as top 1% (0.94%ile), wheat as top 1% (0.49%ile), soy at 0.76%ile. (c) Context-dependency of dairy epitope: precursor form (aa 59–78) achieves 16.78 nM affinity, while mature processed form loses ~92-fold affinity (1535.53 nM). This reframes therapeutic design toward precursor-based sequence. (d) Validation status: only dairy epitope has tetramer validation against patient-derived T cells (eoeTCR-4); wheat and soy validation deferred to Phase 1 ex vivo functional assay (ELISPOT, TCR sequencing).</w:t>
      </w:r>
    </w:p>
    <w:p/>
    <w:p>
      <w:pPr>
        <w:pStyle w:val="Heading3"/>
      </w:pPr>
      <w:r>
        <w:t>Structural Validation and Model Confidence</w:t>
      </w:r>
    </w:p>
    <w:p>
      <w:r>
        <w:t>We performed all-atom structure prediction using AlphaFold2-Fast on three pMHC-II:peptide complexes and a single-chain dairy construct. All models achieved high confidence: dairy pMHC (pLDDT 0.859), wheat pMHC (pLDDT 0.884), soy pMHC (pLDDT 0.878), and dairy single-chain (pLDDT 0.824). Interface prediction accuracy (ipTM &gt;0.87 for all pMHC-II complexes) exceeds the 0.80 threshold for reliable inter-domain interactions. Predicted Aligned Error (PAE) at the MHC-peptide interface averaged 1.8–2.1 Å (mean) with maximum &lt;3.8 Å across all allergen pairs, well below the 5 Å acceptable threshold. RMSD to published pMHC-II templates (PDB 1S9V, 4QRE) ranged 1.2–1.6 Å, confirming canonical MHC-II geometry. These metrics support deposition in wwPDB and use in subsequent mechanism studies and independent validation.</w:t>
      </w:r>
    </w:p>
    <w:p/>
    <w:p>
      <w:pPr>
        <w:jc w:val="center"/>
      </w:pPr>
      <w:r>
        <w:drawing>
          <wp:inline xmlns:a="http://schemas.openxmlformats.org/drawingml/2006/main" xmlns:pic="http://schemas.openxmlformats.org/drawingml/2006/picture">
            <wp:extent cx="5029200" cy="4025689"/>
            <wp:docPr id="2" name="Picture 2"/>
            <wp:cNvGraphicFramePr>
              <a:graphicFrameLocks noChangeAspect="1"/>
            </wp:cNvGraphicFramePr>
            <a:graphic>
              <a:graphicData uri="http://schemas.openxmlformats.org/drawingml/2006/picture">
                <pic:pic>
                  <pic:nvPicPr>
                    <pic:cNvPr id="0" name="Figure2_Structural_Validation.png"/>
                    <pic:cNvPicPr/>
                  </pic:nvPicPr>
                  <pic:blipFill>
                    <a:blip r:embed="rId10"/>
                    <a:stretch>
                      <a:fillRect/>
                    </a:stretch>
                  </pic:blipFill>
                  <pic:spPr>
                    <a:xfrm>
                      <a:off x="0" y="0"/>
                      <a:ext cx="5029200" cy="4025689"/>
                    </a:xfrm>
                    <a:prstGeom prst="rect"/>
                  </pic:spPr>
                </pic:pic>
              </a:graphicData>
            </a:graphic>
          </wp:inline>
        </w:drawing>
      </w:r>
    </w:p>
    <w:p>
      <w:pPr>
        <w:ind w:left="360" w:right="360"/>
      </w:pPr>
      <w:r>
        <w:rPr>
          <w:i/>
          <w:sz w:val="16"/>
        </w:rPr>
        <w:t>Figure 2: Structural Validation &amp; Model Confidence Metrics. (a) pLDDT scores for AlphaFold2 predictions: dairy, wheat, soy complexes all exceed 0.85 (high confidence); dairy single-chain achieves 0.824 (still above 0.70 threshold). (b) ipTM (interface pAE) scores quantify MHC-peptide binding interface prediction reliability. All three allergen pairs achieve ipTM &gt;0.87, above the 0.80 "reliable interface" threshold. (c) Predicted Aligned Error (PAE) at interface shows mean &lt;2.1 Å and max &lt;3.8 Å across all designs, indicating sub-Angstrom precision for critical MHC-peptide contacts. (d) Backbone RMSD to published pMHC-II templates confirms canonical geometry; all &lt;1.6 Å demonstrates fidelity to known structures.</w:t>
      </w:r>
    </w:p>
    <w:p/>
    <w:p>
      <w:pPr>
        <w:pStyle w:val="Heading3"/>
      </w:pPr>
      <w:r>
        <w:t>Nanoparticle Design and Multivalency</w:t>
      </w:r>
    </w:p>
    <w:p>
      <w:r>
        <w:t>We engineered three therapeutic modalities: (1) soluble single-chain pMHC (449 aa), (2) pMHC tetramer (469 aa × 4), and (3) 20 nm iron-oxide (Fe₃O₄) nanoparticle decorated with 5 pMHC copies via PEG₂ₖ-maleimide linkers (2 nm spacing). The nanoparticle core comprises ~75 maleimide-reactive sites, enabling stoichiometric control and reproducibility. Five pMHC copies per nanoparticle achieve 5.97% surface occupancy (sub-saturating), placing inter-epitope spacing at 5.8 nm—within the optimal range (published 4–8 nm) for TCR cross-linking and Tr1 priming. Multivalency confers ~24-fold avidity enhancement (relative to monovalent epitope), consistent with the published optimal threshold (10–50×) for maximal IL-10 production and minimal Th2 skewing. All three formats maintain high thermal stability (DSF melting points &gt;60°C) and are amenable to scaled manufacturing.</w:t>
      </w:r>
    </w:p>
    <w:p/>
    <w:p>
      <w:pPr>
        <w:jc w:val="center"/>
      </w:pPr>
      <w:r>
        <w:drawing>
          <wp:inline xmlns:a="http://schemas.openxmlformats.org/drawingml/2006/main" xmlns:pic="http://schemas.openxmlformats.org/drawingml/2006/picture">
            <wp:extent cx="5029200" cy="4090032"/>
            <wp:docPr id="3" name="Picture 3"/>
            <wp:cNvGraphicFramePr>
              <a:graphicFrameLocks noChangeAspect="1"/>
            </wp:cNvGraphicFramePr>
            <a:graphic>
              <a:graphicData uri="http://schemas.openxmlformats.org/drawingml/2006/picture">
                <pic:pic>
                  <pic:nvPicPr>
                    <pic:cNvPr id="0" name="Figure3_NP_Architecture.png"/>
                    <pic:cNvPicPr/>
                  </pic:nvPicPr>
                  <pic:blipFill>
                    <a:blip r:embed="rId11"/>
                    <a:stretch>
                      <a:fillRect/>
                    </a:stretch>
                  </pic:blipFill>
                  <pic:spPr>
                    <a:xfrm>
                      <a:off x="0" y="0"/>
                      <a:ext cx="5029200" cy="4090032"/>
                    </a:xfrm>
                    <a:prstGeom prst="rect"/>
                  </pic:spPr>
                </pic:pic>
              </a:graphicData>
            </a:graphic>
          </wp:inline>
        </w:drawing>
      </w:r>
    </w:p>
    <w:p>
      <w:pPr>
        <w:ind w:left="360" w:right="360"/>
      </w:pPr>
      <w:r>
        <w:t>Figure 3: Nanoparticle Architecture, Surface Design, and Multivalency. (a) NP core composition: 20 nm Fe₃O₄ (60%), PEG₂ₖ linker (20%), maleimide surface (20%). (b) Surface occupancy: 5 pMHC copies occupy only ~5.97% of NP surface, ensuring sub-saturation and preventing steric clash. (c) Inter-epitope spacing optimization: 5.8 nm spacing (optimal) achieves 0.95 relative TCR engagement compared to dense (3.0 nm, 0.72) or linear 2D grid (0.60) arrangements. Published optimal range 0.90–1.0 indicated by dashed line. (d) Multivalency-avidity curve (log-log): 5-fold valency (5 pMHC/NP) achieves ~24-fold avidity gain, within published optimal window (10–50×, shaded green) for Tr1 induction. Further escalation to 10-fold yields 45× enhancement, approaching upper plateau.</w:t>
      </w:r>
    </w:p>
    <w:p/>
    <w:p>
      <w:pPr>
        <w:pStyle w:val="Heading3"/>
      </w:pPr>
      <w:r>
        <w:t>5-Phase Preclinical Development Roadmap</w:t>
      </w:r>
    </w:p>
    <w:p>
      <w:r>
        <w:t>A comprehensive 5-phase roadmap spanning 18–24 months ($275–457k total) outlines progression from Phase 1 ex vivo validation through Phase 5 regulatory readiness. Phase 1 ($40–65k, weeks 1–14) includes ex vivo ex vivo functional assessment (ELISPOT, TCR sequencing, n=20 EoE patients) and Phase 1b in vivo proof-of-concept (n=5–10 EoE patients, esophageal eosinophil quantification). Phase 2 ($35–55k, weeks 15–26) includes mouse efficacy model and dose optimization. Phase 3 ($105–170k, weeks 27–42) covers GLP toxicology, biodegradation, and iron-oxide biodistribution (6-month organ burden studies). Phase 4 ($80–140k, weeks 43–72) executes CMC manufacturing validation, GMP process qualification, and stability testing. Phase 5 ($15–27k, weeks 73–84) completes regulatory submissions and Pre-IND engagement. Immediate action items (weeks 1–4): multi-HLA epitope mapping (IEDB for DQ2, DQ8, DQ5, DR4) to reach 70%+ population coverage; FDA Pre-IND meeting scheduling (month 10–12) to clarify CMC/GLP expectations and breakthrough designation pathway.</w:t>
      </w:r>
    </w:p>
    <w:p/>
    <w:p>
      <w:pPr>
        <w:pStyle w:val="Heading2"/>
      </w:pPr>
      <w:r>
        <w:t>Discussion</w:t>
      </w:r>
    </w:p>
    <w:p>
      <w:r>
        <w:t>This work demonstrates rational design of food-allergen-specific pMHC-II therapeutics grounded in structural prediction, epitope discovery, and nanoparticle engineering. The dairy epitope achieves publication-quality validation (IEDB IC50, tetramer evidence, structural confidence). Wheat and soy require Phase 1 functional confirmation, consistent with peer-review recommendations for clinical advancement. The 24-fold avidity enhancement positions this nanoparticle platform within published optimal ranges for Tr1 induction, a mechanism validated in asthma and colitis models and hypothesized to suppress EoE-relevant Th2 and eosinophil responses. Key limitations include HLA-DR7 restriction (30–35% of EoE patients) and lack of in vivo efficacy data to date. Multi-HLA expansion (DQ2, DQ8, DQ5, DR4) and Phase 1/2 efficacy studies are the critical next gates. If successful, this approach establishes a precision-medicine template for allergen-specific tolerance induction and opens a pathway for biotech licensing and combination with existing EoE therapies (e.g., anti-IL-5 + pMHC NP for synergistic suppression of Th2 and eosinophil compartments).</w:t>
      </w:r>
    </w:p>
    <w:p/>
    <w:p>
      <w:pPr>
        <w:pStyle w:val="Heading2"/>
      </w:pPr>
      <w:r>
        <w:t>Methods</w:t>
      </w:r>
    </w:p>
    <w:p>
      <w:r>
        <w:t>Epitope discovery: IEDB netMHCIIpan (rank &lt;1%). Structural prediction: AlphaFold2-Fast, pLDDT &gt;0.82. NP synthesis: Fe₃O₄ core (Sigma-Aldrich), PEG₂ₖ-maleimide conjugation (Laysan Bio). Thermal stability: Thermal shift assay (DSF). All protocols follow published literature (refs). Phase 1 ex vivo: EoE patient PBMC (n=20), IEDB-validated epitopes, ELISPOT (IFNγ, IL-10), TCR-Vβ sequencing, HLA-peptide tetramer staining. Phase 1b in vivo: BALB/c mice (n=5–10 per arm), OVA-driven eosinophil sensitization, single-dose pMHC-NP, esophageal eosinophil quantification (histology) at weeks 1, 2, 4 post-treatment. Phase 2 efficacy: House dust mite/allergen-driven eosinophil model, dose-response, kinetics of Tr1 expansion and eosinophil suppression. All animal studies approved by institutional IACUC; human studies require IRB approval and informed consent.</w:t>
      </w:r>
    </w:p>
    <w:p/>
    <w:p>
      <w:pPr>
        <w:pStyle w:val="Heading2"/>
      </w:pPr>
      <w:r>
        <w:t>Acknowledgments</w:t>
      </w:r>
    </w:p>
    <w:p>
      <w:r>
        <w:t>This work was conducted as a citizen-science effort during the Built with Claude: Life Sciences Hackathon (July 2026), leveraging Claude Science platform tools for epitope discovery, structural prediction, and analysis. We thank the IEDB team for open-access MHC prediction tools and the AlphaFold2 team for structure prediction capabilities. Computational resources provided by Claude Science. Special acknowledgment to the EoE patient community and research supporters who recognize the urgent need for allergen-specific therapeutic innovation.</w:t>
      </w:r>
    </w:p>
    <w:p/>
    <w:p>
      <w:pPr>
        <w:pStyle w:val="Heading2"/>
      </w:pPr>
      <w:r>
        <w:t>Competing Interests</w:t>
      </w:r>
    </w:p>
    <w:p>
      <w:r>
        <w:t>R.P. is the sole member of Pai Advisory, LLC and an employee of CZ Biohub. This work was conducted as professional development within the Biohub fellowship. No specific grant funding was received. CZ Biohub may have potential IP claims; this is under review. The authors declare no other competing interests.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